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ascii="Arial" w:hAnsi="Arial" w:eastAsia="黑体"/>
          <w:b/>
          <w:bCs/>
          <w:color w:val="000000"/>
          <w:sz w:val="84"/>
          <w:szCs w:val="24"/>
          <w:highlight w:val="none"/>
        </w:rPr>
      </w:r>
      <w:r/>
    </w:p>
    <w:p>
      <w:pPr>
        <w:pStyle w:val="949"/>
        <w:rPr>
          <w:rFonts w:hint="eastAsia"/>
          <w:color w:val="000000"/>
          <w:highlight w:val="none"/>
        </w:rPr>
      </w:pPr>
      <w:r>
        <w:rPr>
          <w:rFonts w:hint="eastAsia"/>
          <w:color w:val="000000"/>
          <w:highlight w:val="none"/>
        </w:rPr>
      </w:r>
      <w:r/>
    </w:p>
    <w:p>
      <w:pPr>
        <w:pStyle w:val="96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1"/>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南京鼓楼医院康复数字化管理系统</w:t>
      </w:r>
      <w:r>
        <w:rPr>
          <w:rFonts w:eastAsia="宋体" w:cs="Times New Roman"/>
          <w:b/>
          <w:color w:val="000000"/>
          <w:sz w:val="30"/>
          <w:szCs w:val="30"/>
          <w:highlight w:val="none"/>
          <w:u w:val="single"/>
          <w:lang w:val="en-US" w:eastAsia="zh-CN"/>
        </w:rPr>
      </w:r>
      <w:r/>
    </w:p>
    <w:p>
      <w:pPr>
        <w:pStyle w:val="87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color w:val="000000"/>
          <w:sz w:val="32"/>
          <w:szCs w:val="32"/>
          <w:highlight w:val="none"/>
          <w:lang w:eastAsia="zh-CN"/>
        </w:rPr>
        <w:t xml:space="preserve">：</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JSZC-320100-JZCG-G2026-0162</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2026年6月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71"/>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9"/>
        <w:rPr>
          <w:rFonts w:hint="eastAsia"/>
          <w:color w:val="000000"/>
          <w:highlight w:val="none"/>
        </w:rPr>
      </w:pPr>
      <w:r>
        <w:rPr>
          <w:rFonts w:hint="eastAsia"/>
          <w:color w:val="000000"/>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18</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31</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38</w:t>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1"/>
        <w:ind w:firstLine="480"/>
        <w:pageBreakBefore w:val="0"/>
        <w:spacing w:line="240" w:lineRule="auto"/>
        <w:widowControl w:val="off"/>
        <w:rPr>
          <w:rFonts w:hint="eastAsia" w:ascii="宋体" w:hAnsi="宋体"/>
          <w:color w:val="000000"/>
          <w:sz w:val="24"/>
          <w:szCs w:val="24"/>
          <w:highlight w:val="none"/>
        </w:rPr>
      </w:pPr>
      <w:r/>
      <w:bookmarkStart w:id="6" w:name="_Toc38985263"/>
      <w:r/>
      <w:bookmarkStart w:id="7" w:name="_Toc28359079"/>
      <w:r/>
      <w:bookmarkStart w:id="8" w:name="_Toc35393621"/>
      <w:r/>
      <w:bookmarkStart w:id="9" w:name="_Toc28359002"/>
      <w:r/>
      <w:bookmarkStart w:id="10" w:name="_Toc35393790"/>
      <w:r/>
      <w:bookmarkStart w:id="11" w:name="_Hlk24379207"/>
      <w:r>
        <w:rPr>
          <w:rFonts w:hint="eastAsia" w:ascii="宋体" w:hAnsi="宋体"/>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受</w:t>
      </w:r>
      <w:r>
        <w:rPr>
          <w:rFonts w:hint="eastAsia" w:ascii="宋体" w:hAnsi="宋体" w:eastAsia="宋体" w:cs="Times New Roman"/>
          <w:i w:val="0"/>
          <w:iCs w:val="0"/>
          <w:caps w:val="0"/>
          <w:color w:val="000000"/>
          <w:spacing w:val="0"/>
          <w:sz w:val="24"/>
          <w:szCs w:val="24"/>
          <w:highlight w:val="none"/>
          <w:shd w:val="clear" w:color="auto" w:fill="auto"/>
        </w:rPr>
        <w:t xml:space="preserve">南京鼓楼医院</w:t>
      </w:r>
      <w:r>
        <w:rPr>
          <w:rFonts w:hint="eastAsia" w:ascii="宋体" w:hAnsi="宋体" w:eastAsia="宋体" w:cs="Times New Roman"/>
          <w:color w:val="000000"/>
          <w:sz w:val="24"/>
          <w:szCs w:val="24"/>
          <w:highlight w:val="none"/>
        </w:rPr>
        <w:t xml:space="preserve">委托，</w:t>
      </w:r>
      <w:r>
        <w:rPr>
          <w:rFonts w:hint="eastAsia" w:ascii="宋体" w:hAnsi="宋体" w:eastAsia="宋体" w:cs="Times New Roman"/>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w:t>
      </w:r>
      <w:r>
        <w:rPr>
          <w:rFonts w:hint="eastAsia" w:ascii="宋体" w:hAnsi="宋体" w:eastAsia="宋体" w:cs="Times New Roman"/>
          <w:i w:val="0"/>
          <w:iCs w:val="0"/>
          <w:caps w:val="0"/>
          <w:color w:val="000000"/>
          <w:spacing w:val="0"/>
          <w:sz w:val="24"/>
          <w:szCs w:val="24"/>
          <w:highlight w:val="none"/>
          <w:shd w:val="clear" w:color="auto" w:fill="auto"/>
        </w:rPr>
        <w:t xml:space="preserve">南京鼓楼医院康复数字化管理系统</w:t>
      </w:r>
      <w:r>
        <w:rPr>
          <w:rFonts w:hint="eastAsia" w:ascii="宋体" w:hAnsi="宋体" w:eastAsia="宋体" w:cs="Times New Roman"/>
          <w:color w:val="000000"/>
          <w:sz w:val="24"/>
          <w:szCs w:val="24"/>
          <w:highlight w:val="none"/>
        </w:rPr>
        <w:t xml:space="preserve">进行公开招标采购，欢迎符合条件的供应商投标。</w:t>
      </w:r>
      <w:r>
        <w:rPr>
          <w:rFonts w:hint="eastAsia" w:ascii="宋体" w:hAnsi="宋体" w:eastAsia="宋体" w:cs="Times New Roman"/>
          <w:color w:val="000000"/>
          <w:sz w:val="24"/>
          <w:szCs w:val="24"/>
          <w:highlight w:val="non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i w:val="0"/>
          <w:iCs w:val="0"/>
          <w:caps w:val="0"/>
          <w:color w:val="000000"/>
          <w:spacing w:val="0"/>
          <w:sz w:val="24"/>
          <w:szCs w:val="24"/>
          <w:highlight w:val="none"/>
          <w:shd w:val="clear" w:color="auto" w:fill="auto"/>
        </w:rPr>
        <w:t xml:space="preserve">JSZC-320100-JZCG-G2026-0162</w:t>
      </w:r>
      <w:r>
        <w:rPr>
          <w:rFonts w:ascii="宋体" w:hAnsi="宋体"/>
          <w:color w:val="000000"/>
          <w:sz w:val="24"/>
          <w:szCs w:val="24"/>
          <w:highlight w:val="none"/>
        </w:rPr>
      </w:r>
      <w:r/>
    </w:p>
    <w:p>
      <w:pPr>
        <w:pStyle w:val="871"/>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lang w:bidi="ar"/>
        </w:rPr>
        <w:t xml:space="preserve">：</w:t>
      </w:r>
      <w:r>
        <w:rPr>
          <w:rFonts w:hint="eastAsia" w:ascii="宋体" w:hAnsi="宋体" w:eastAsia="宋体" w:cs="Times New Roman"/>
          <w:i w:val="0"/>
          <w:iCs w:val="0"/>
          <w:caps w:val="0"/>
          <w:color w:val="000000"/>
          <w:spacing w:val="0"/>
          <w:sz w:val="24"/>
          <w:szCs w:val="24"/>
          <w:highlight w:val="none"/>
          <w:shd w:val="clear" w:color="auto" w:fill="auto"/>
          <w:lang w:bidi="ar"/>
        </w:rPr>
        <w:t xml:space="preserve">南京鼓楼医院康复数字化管理系统</w:t>
      </w:r>
      <w:r>
        <w:rPr>
          <w:rFonts w:hint="eastAsia" w:ascii="宋体" w:hAnsi="宋体" w:eastAsia="宋体"/>
          <w:color w:val="000000"/>
          <w:sz w:val="24"/>
          <w:szCs w:val="24"/>
          <w:highlight w:val="none"/>
          <w:lang w:eastAsia="zh-CN"/>
        </w:rPr>
      </w:r>
      <w:r/>
    </w:p>
    <w:p>
      <w:pPr>
        <w:pStyle w:val="871"/>
        <w:ind w:firstLine="480"/>
        <w:spacing w:line="240" w:lineRule="auto"/>
        <w:rPr>
          <w:rFonts w:ascii="宋体" w:hAnsi="宋体"/>
          <w:color w:val="000000"/>
          <w:sz w:val="24"/>
          <w:szCs w:val="24"/>
          <w:highlight w:val="none"/>
          <w:lang w:val="en-US"/>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48万元</w:t>
      </w:r>
      <w:r>
        <w:rPr>
          <w:rFonts w:ascii="宋体" w:hAnsi="宋体"/>
          <w:color w:val="000000"/>
          <w:sz w:val="24"/>
          <w:szCs w:val="24"/>
          <w:highlight w:val="none"/>
          <w:lang w:val="en-US"/>
        </w:rPr>
      </w:r>
      <w:r/>
    </w:p>
    <w:p>
      <w:pPr>
        <w:pStyle w:val="871"/>
        <w:ind w:firstLine="480"/>
        <w:pageBreakBefore w:val="0"/>
        <w:spacing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40万元</w:t>
      </w:r>
      <w:r>
        <w:rPr>
          <w:rFonts w:hint="eastAsia" w:ascii="宋体" w:hAnsi="宋体"/>
          <w:color w:val="000000"/>
          <w:sz w:val="24"/>
          <w:szCs w:val="24"/>
          <w:highlight w:val="none"/>
        </w:rPr>
      </w:r>
      <w:r/>
    </w:p>
    <w:p>
      <w:pPr>
        <w:pStyle w:val="871"/>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bidi="ar"/>
        </w:rPr>
        <w:t xml:space="preserve">随着医院信息化建设不断深入，临床业务全流程数字化、一体化管理已成为现代化医院高质量发展的必然趋势。当前</w:t>
      </w:r>
      <w:r>
        <w:rPr>
          <w:rFonts w:hint="eastAsia" w:ascii="宋体" w:hAnsi="宋体"/>
          <w:color w:val="000000"/>
          <w:sz w:val="24"/>
          <w:szCs w:val="24"/>
          <w:highlight w:val="none"/>
          <w:lang w:val="en-US" w:eastAsia="zh-CN" w:bidi="ar"/>
        </w:rPr>
        <w:t xml:space="preserve">南京鼓楼医院</w:t>
      </w:r>
      <w:r>
        <w:rPr>
          <w:rFonts w:hint="eastAsia" w:ascii="宋体" w:hAnsi="宋体"/>
          <w:color w:val="000000"/>
          <w:sz w:val="24"/>
          <w:szCs w:val="24"/>
          <w:highlight w:val="none"/>
          <w:lang w:bidi="ar"/>
        </w:rPr>
        <w:t xml:space="preserve">院内康复治疗业务在流程规范、信息互通、数据管理等方面仍存在提升空间，为规范诊疗与管理流程，需建设康复数字化管理系统，统一规范院内康复治疗全业务流程，构建全院“临床+康复”一体化信息管理模式，推动医院康复医学的发展。</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ascii="宋体" w:hAnsi="宋体" w:cs="宋体"/>
          <w:color w:val="000000"/>
          <w:sz w:val="24"/>
          <w:szCs w:val="24"/>
          <w:highlight w:val="none"/>
        </w:rPr>
        <w:t xml:space="preserve">合同签订后</w:t>
      </w:r>
      <w:r>
        <w:rPr>
          <w:rFonts w:hint="eastAsia" w:ascii="宋体" w:hAnsi="宋体"/>
          <w:color w:val="000000"/>
          <w:sz w:val="24"/>
          <w:szCs w:val="24"/>
          <w:highlight w:val="none"/>
        </w:rPr>
        <w:t xml:space="preserve">60</w:t>
      </w:r>
      <w:r>
        <w:rPr>
          <w:rFonts w:ascii="宋体" w:hAnsi="宋体" w:cs="宋体"/>
          <w:color w:val="000000"/>
          <w:sz w:val="24"/>
          <w:szCs w:val="24"/>
          <w:highlight w:val="none"/>
        </w:rPr>
        <w:t xml:space="preserve">天内</w:t>
      </w:r>
      <w:r>
        <w:rPr>
          <w:rFonts w:hint="eastAsia" w:ascii="宋体" w:hAnsi="宋体" w:cs="宋体"/>
          <w:color w:val="000000"/>
          <w:sz w:val="24"/>
          <w:szCs w:val="24"/>
          <w:highlight w:val="none"/>
        </w:rPr>
        <w:t xml:space="preserve">完成系统开发及到货交付整体验收工作</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791"/>
      <w:r/>
      <w:bookmarkStart w:id="13" w:name="_Toc38985264"/>
      <w:r/>
      <w:bookmarkStart w:id="14" w:name="_Toc28359080"/>
      <w:r/>
      <w:bookmarkStart w:id="15" w:name="_Toc28359003"/>
      <w:r/>
      <w:bookmarkStart w:id="16"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color w:val="000000"/>
          <w:sz w:val="24"/>
          <w:szCs w:val="24"/>
          <w:highlight w:val="none"/>
        </w:rPr>
      </w:pPr>
      <w:r/>
      <w:bookmarkStart w:id="17" w:name="_Toc35393792"/>
      <w:r/>
      <w:bookmarkStart w:id="18" w:name="_Toc28359081"/>
      <w:r/>
      <w:bookmarkStart w:id="19" w:name="_Toc38985265"/>
      <w:r/>
      <w:bookmarkStart w:id="20" w:name="_Toc28359004"/>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本项目专门面向中小微企业采购，供应商应为中小微企业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监狱企业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残疾人福利性单位。（格式见第六章）</w:t>
      </w:r>
      <w:r>
        <w:rPr>
          <w:rFonts w:hint="eastAsia" w:ascii="宋体" w:hAnsi="宋体" w:eastAsia="宋体"/>
          <w:color w:val="000000"/>
          <w:sz w:val="24"/>
          <w:szCs w:val="24"/>
          <w:highlight w:val="none"/>
          <w:lang w:val="zh-CN" w:eastAsia="zh-CN"/>
        </w:rPr>
      </w:r>
      <w:r/>
    </w:p>
    <w:p>
      <w:pPr>
        <w:pStyle w:val="871"/>
        <w:ind w:left="0" w:right="0" w:firstLine="480"/>
        <w:jc w:val="left"/>
        <w:keepLines w:val="0"/>
        <w:keepNext w:val="0"/>
        <w:spacing w:before="0" w:beforeAutospacing="0" w:after="0" w:afterAutospacing="0"/>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1"/>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7" w:name="_Toc38985267"/>
      <w:r/>
      <w:bookmarkStart w:id="28" w:name="_Toc28359007"/>
      <w:r/>
      <w:bookmarkStart w:id="29" w:name="_Toc28359084"/>
      <w:r/>
      <w:bookmarkStart w:id="30" w:name="_Toc35393794"/>
      <w:r/>
      <w:bookmarkStart w:id="31" w:name="_Toc35393625"/>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rPr>
        <w:t xml:space="preserve">20日</w:t>
      </w:r>
      <w:r>
        <w:rPr>
          <w:rFonts w:hint="eastAsia" w:ascii="Times New Roman" w:hAnsi="Times New Roman" w:eastAsia="宋体" w:cs="Times New Roman"/>
          <w:bCs/>
          <w:color w:val="000000"/>
          <w:sz w:val="24"/>
          <w:szCs w:val="24"/>
          <w:highlight w:val="none"/>
          <w:u w:val="none"/>
          <w:lang w:val="en-US" w:eastAsia="zh-CN"/>
        </w:rPr>
        <w:t xml:space="preserve">14时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1"/>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35393627"/>
      <w:r/>
      <w:bookmarkStart w:id="37" w:name="_Toc28359008"/>
      <w:r/>
      <w:bookmarkStart w:id="38" w:name="_Toc38985269"/>
      <w:r/>
      <w:bookmarkStart w:id="39" w:name="_Toc35393796"/>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1"/>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71"/>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highlight w:val="none"/>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1"/>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olor w:val="000000"/>
          <w:sz w:val="24"/>
          <w:highlight w:val="none"/>
        </w:rPr>
        <w:t xml:space="preserve">张</w:t>
      </w:r>
      <w:r>
        <w:rPr>
          <w:rFonts w:ascii="宋体" w:hAnsi="宋体"/>
          <w:color w:val="000000"/>
          <w:sz w:val="24"/>
          <w:highlight w:val="none"/>
        </w:rPr>
        <w:t xml:space="preserve">老师</w:t>
      </w:r>
      <w:r>
        <w:rPr>
          <w:rFonts w:hint="eastAsia" w:ascii="宋体" w:hAnsi="宋体"/>
          <w:color w:val="000000"/>
          <w:sz w:val="24"/>
          <w:highlight w:val="none"/>
        </w:rPr>
        <w:t xml:space="preserve">，收件地址：</w:t>
      </w:r>
      <w:r>
        <w:rPr>
          <w:rFonts w:hint="eastAsia" w:ascii="宋体" w:hAnsi="宋体" w:cs="宋体"/>
          <w:color w:val="000000"/>
          <w:sz w:val="24"/>
          <w:szCs w:val="24"/>
          <w:highlight w:val="none"/>
        </w:rPr>
        <w:t xml:space="preserve">南京市玄武区双龙巷5号4楼410（南京鼓楼医院医用物资采购中心），</w:t>
      </w:r>
      <w:r>
        <w:rPr>
          <w:rFonts w:hint="eastAsia" w:ascii="宋体" w:hAnsi="宋体"/>
          <w:color w:val="000000"/>
          <w:sz w:val="24"/>
          <w:highlight w:val="none"/>
        </w:rPr>
        <w:t xml:space="preserve">联系电话：</w:t>
      </w:r>
      <w:r>
        <w:rPr>
          <w:rFonts w:ascii="宋体" w:hAnsi="宋体"/>
          <w:color w:val="000000"/>
          <w:sz w:val="24"/>
          <w:highlight w:val="none"/>
        </w:rPr>
        <w:t xml:space="preserve">025-83105006</w:t>
      </w:r>
      <w:r>
        <w:rPr>
          <w:rFonts w:hint="eastAsia" w:ascii="宋体" w:hAnsi="宋体"/>
          <w:color w:val="000000"/>
          <w:sz w:val="24"/>
          <w:highlight w:val="none"/>
        </w:rPr>
        <w:t xml:space="preserve">。</w:t>
      </w:r>
      <w:r>
        <w:rPr>
          <w:rFonts w:ascii="宋体" w:hAnsi="宋体" w:eastAsia="宋体" w:cs="Times New Roman"/>
          <w:b w:val="0"/>
          <w:bCs w:val="0"/>
          <w:color w:val="000000"/>
          <w:sz w:val="24"/>
          <w:highlight w:val="none"/>
          <w:lang w:val="en-US" w:eastAsia="zh-CN"/>
        </w:rPr>
      </w:r>
      <w:r/>
    </w:p>
    <w:p>
      <w:pPr>
        <w:pStyle w:val="871"/>
        <w:ind w:firstLine="48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rPr>
          <w:rFonts w:ascii="宋体" w:hAnsi="宋体"/>
          <w:color w:val="000000"/>
          <w:sz w:val="24"/>
          <w:szCs w:val="24"/>
          <w:highlight w:val="none"/>
        </w:rPr>
      </w:pPr>
      <w:r>
        <w:rPr>
          <w:rFonts w:hint="eastAsia" w:ascii="宋体" w:hAnsi="宋体"/>
          <w:color w:val="000000"/>
          <w:sz w:val="24"/>
          <w:szCs w:val="24"/>
          <w:highlight w:val="none"/>
        </w:rPr>
        <w:t xml:space="preserve">名  称：南京鼓楼医院          </w:t>
      </w:r>
      <w:r>
        <w:rPr>
          <w:rFonts w:ascii="宋体" w:hAnsi="宋体"/>
          <w:color w:val="000000"/>
          <w:sz w:val="24"/>
          <w:szCs w:val="24"/>
          <w:highlight w:val="none"/>
        </w:rPr>
      </w:r>
      <w:r/>
    </w:p>
    <w:p>
      <w:pPr>
        <w:pStyle w:val="871"/>
        <w:ind w:firstLine="480"/>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s="宋体"/>
          <w:color w:val="000000"/>
          <w:sz w:val="24"/>
          <w:szCs w:val="24"/>
          <w:highlight w:val="none"/>
          <w:lang w:val="en-US" w:eastAsia="zh-CN"/>
        </w:rPr>
        <w:t xml:space="preserve">鼓楼区</w:t>
      </w:r>
      <w:r>
        <w:rPr>
          <w:rFonts w:hint="eastAsia" w:ascii="宋体" w:hAnsi="宋体" w:cs="宋体"/>
          <w:color w:val="000000"/>
          <w:sz w:val="24"/>
          <w:szCs w:val="24"/>
          <w:highlight w:val="none"/>
        </w:rPr>
        <w:t xml:space="preserve">中山路321号</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71"/>
        <w:ind w:firstLine="480"/>
        <w:rPr>
          <w:rFonts w:ascii="宋体" w:hAnsi="宋体"/>
          <w:color w:val="000000"/>
          <w:sz w:val="24"/>
          <w:szCs w:val="24"/>
          <w:highlight w:val="none"/>
        </w:rPr>
      </w:pPr>
      <w:r>
        <w:rPr>
          <w:rFonts w:hint="eastAsia" w:ascii="宋体" w:hAnsi="宋体"/>
          <w:color w:val="000000"/>
          <w:sz w:val="24"/>
          <w:szCs w:val="24"/>
          <w:highlight w:val="none"/>
        </w:rPr>
        <w:t xml:space="preserve">联系人：张老师 </w:t>
      </w:r>
      <w:r>
        <w:rPr>
          <w:rFonts w:ascii="宋体" w:hAnsi="宋体"/>
          <w:color w:val="000000"/>
          <w:sz w:val="24"/>
          <w:szCs w:val="24"/>
          <w:highlight w:val="none"/>
        </w:rPr>
      </w:r>
      <w:r/>
    </w:p>
    <w:p>
      <w:pPr>
        <w:pStyle w:val="871"/>
        <w:ind w:firstLine="480"/>
        <w:rPr>
          <w:rFonts w:ascii="宋体" w:hAnsi="宋体"/>
          <w:color w:val="000000"/>
          <w:sz w:val="24"/>
          <w:szCs w:val="24"/>
          <w:highlight w:val="none"/>
        </w:rPr>
      </w:pPr>
      <w:r>
        <w:rPr>
          <w:rFonts w:hint="eastAsia" w:ascii="宋体" w:hAnsi="宋体"/>
          <w:color w:val="000000"/>
          <w:sz w:val="24"/>
          <w:szCs w:val="24"/>
          <w:highlight w:val="none"/>
        </w:rPr>
        <w:t xml:space="preserve">联系电话：025-</w:t>
      </w:r>
      <w:r>
        <w:rPr>
          <w:rFonts w:ascii="宋体" w:hAnsi="宋体"/>
          <w:color w:val="000000"/>
          <w:sz w:val="24"/>
          <w:szCs w:val="24"/>
          <w:highlight w:val="none"/>
        </w:rPr>
        <w:t xml:space="preserve">83105006</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联系电话：025-68505085</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Toc20823346"/>
      <w:r/>
      <w:bookmarkStart w:id="45" w:name="_Hlt16619350"/>
      <w:r/>
      <w:bookmarkStart w:id="46" w:name="_Toc16938590"/>
      <w:r/>
      <w:bookmarkStart w:id="47" w:name="_Toc120614244"/>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8"/>
      <w:r/>
      <w:bookmarkStart w:id="49" w:name="_Toc20823274"/>
      <w:r/>
      <w:bookmarkStart w:id="50" w:name="_Toc16938518"/>
      <w:r/>
      <w:bookmarkStart w:id="51" w:name="_Toc513029202"/>
      <w:r/>
      <w:bookmarkStart w:id="52" w:name="_Toc120614213"/>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20823275"/>
      <w:r/>
      <w:bookmarkStart w:id="54" w:name="_Toc16938519"/>
      <w:r/>
      <w:bookmarkStart w:id="55" w:name="_Toc120614214"/>
      <w:r/>
      <w:bookmarkStart w:id="56" w:name="_Toc513029203"/>
      <w:r/>
      <w:bookmarkStart w:id="57" w:name="_Toc513029242"/>
      <w:r/>
      <w:bookmarkStart w:id="58" w:name="_Toc20823314"/>
      <w:r/>
      <w:bookmarkStart w:id="59" w:name="_Toc479757207"/>
      <w:r/>
      <w:bookmarkStart w:id="60" w:name="_Toc120614221"/>
      <w:r/>
      <w:bookmarkStart w:id="61" w:name="_Toc16938558"/>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b/>
          <w:bCs/>
          <w:color w:val="000000"/>
          <w:sz w:val="28"/>
          <w:szCs w:val="28"/>
          <w:highlight w:val="none"/>
        </w:rPr>
        <w:t xml:space="preserve">1</w:t>
      </w:r>
      <w:bookmarkEnd w:id="63"/>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7" w:name="_Toc20823277"/>
      <w:r/>
      <w:bookmarkStart w:id="68" w:name="_Toc513029205"/>
      <w:r/>
      <w:bookmarkStart w:id="69" w:name="_Toc16938521"/>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7"/>
      <w:r/>
      <w:bookmarkEnd w:id="68"/>
      <w:r/>
      <w:bookmarkEnd w:id="69"/>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0" w:name="_Toc20823278"/>
      <w:r/>
      <w:bookmarkStart w:id="71" w:name="_Toc513029206"/>
      <w:r/>
      <w:bookmarkStart w:id="72" w:name="_Toc16938522"/>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0"/>
      <w:r/>
      <w:bookmarkEnd w:id="71"/>
      <w:r/>
      <w:bookmarkEnd w:id="72"/>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3" w:name="_Toc20823279"/>
      <w:r/>
      <w:bookmarkStart w:id="74" w:name="_Toc513029207"/>
      <w:r/>
      <w:bookmarkStart w:id="75" w:name="_Toc462564067"/>
      <w:r/>
      <w:bookmarkStart w:id="76" w:name="_Toc16938523"/>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3"/>
      <w:r/>
      <w:bookmarkEnd w:id="74"/>
      <w:r/>
      <w:bookmarkEnd w:id="75"/>
      <w:r/>
      <w:bookmarkEnd w:id="76"/>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7" w:name="_Toc20823281"/>
      <w:r/>
      <w:bookmarkStart w:id="78" w:name="_Toc513029209"/>
      <w:r/>
      <w:bookmarkStart w:id="79" w:name="_Toc16938525"/>
      <w:r/>
      <w:bookmarkStart w:id="80"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1" w:name="_Toc513029210"/>
      <w:r/>
      <w:bookmarkStart w:id="82" w:name="_Toc20823282"/>
      <w:r/>
      <w:bookmarkStart w:id="83" w:name="_Toc16938526"/>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1"/>
      <w:r/>
      <w:bookmarkEnd w:id="82"/>
      <w:r/>
      <w:bookmarkEnd w:id="83"/>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4" w:name="_Toc513029211"/>
      <w:r/>
      <w:bookmarkStart w:id="85" w:name="_Toc16938527"/>
      <w:r/>
      <w:bookmarkStart w:id="86" w:name="_Toc20823283"/>
      <w:r/>
      <w:bookmarkStart w:id="87" w:name="_Toc462564070"/>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8" w:name="_Toc513029212"/>
      <w:r/>
      <w:bookmarkStart w:id="89" w:name="_Toc20823284"/>
      <w:r/>
      <w:bookmarkStart w:id="90" w:name="_Toc462564071"/>
      <w:r/>
      <w:bookmarkStart w:id="91" w:name="_Toc16938528"/>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2" w:name="_Toc513029213"/>
      <w:r/>
      <w:bookmarkStart w:id="93" w:name="_Toc16938529"/>
      <w:r/>
      <w:bookmarkStart w:id="94" w:name="_Toc20823285"/>
      <w:r/>
      <w:bookmarkStart w:id="95" w:name="_Toc462564072"/>
      <w:r/>
      <w:bookmarkStart w:id="96" w:name="_Toc120614216"/>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7" w:name="_Toc16938530"/>
      <w:r/>
      <w:bookmarkStart w:id="98" w:name="_Toc462564073"/>
      <w:r/>
      <w:bookmarkStart w:id="99" w:name="_Toc20823286"/>
      <w:r/>
      <w:bookmarkStart w:id="100" w:name="_Toc513029214"/>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1" w:name="_Toc20823287"/>
      <w:r/>
      <w:bookmarkStart w:id="102" w:name="_Toc16938531"/>
      <w:r/>
      <w:bookmarkStart w:id="103" w:name="_Toc462564074"/>
      <w:r/>
      <w:bookmarkStart w:id="104" w:name="_Toc513029215"/>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10.1 投标人编写的投标文件应包括资格证明文件、符合性证明文件、</w:t>
      </w:r>
      <w:r>
        <w:rPr>
          <w:rFonts w:hint="eastAsia" w:ascii="宋体" w:hAnsi="宋体" w:eastAsia="宋体" w:cs="Times New Roman"/>
          <w:color w:val="000000"/>
          <w:sz w:val="24"/>
          <w:szCs w:val="22"/>
          <w:highlight w:val="none"/>
          <w:lang w:val="en-US" w:eastAsia="zh-CN"/>
        </w:rPr>
        <w:t xml:space="preserve">投标分项报价表</w:t>
      </w:r>
      <w:r>
        <w:rPr>
          <w:rFonts w:hint="eastAsia" w:ascii="宋体" w:hAnsi="宋体" w:eastAsia="宋体" w:cs="Times New Roman"/>
          <w:color w:val="000000"/>
          <w:sz w:val="24"/>
          <w:szCs w:val="22"/>
          <w:highlight w:val="none"/>
        </w:rPr>
        <w:t xml:space="preserve">、响应及偏离表、其他证明文件、投标函、开标一览表等部分。</w:t>
      </w:r>
      <w:r>
        <w:rPr>
          <w:rFonts w:hint="eastAsia" w:ascii="宋体" w:hAnsi="宋体" w:eastAsia="宋体" w:cs="Times New Roman"/>
          <w:color w:val="000000"/>
          <w:sz w:val="24"/>
          <w:szCs w:val="22"/>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5" w:name="_Hlt26670360"/>
      <w:r/>
      <w:bookmarkEnd w:id="105"/>
      <w:r/>
      <w:bookmarkStart w:id="106" w:name="_Toc14577357"/>
      <w:r/>
      <w:bookmarkStart w:id="107" w:name="_Toc513029219"/>
      <w:r/>
      <w:bookmarkStart w:id="108" w:name="_Toc49090509"/>
      <w:r/>
      <w:bookmarkStart w:id="109" w:name="_Toc14577354"/>
      <w:r/>
      <w:bookmarkStart w:id="110" w:name="_Toc49090507"/>
      <w:r/>
      <w:bookmarkStart w:id="111" w:name="_Toc513029216"/>
      <w:r/>
      <w:bookmarkStart w:id="112" w:name="_Hlt26668975"/>
      <w:r/>
      <w:bookmarkEnd w:id="112"/>
      <w:r/>
      <w:bookmarkStart w:id="113" w:name="_Hlt26954838"/>
      <w:r/>
      <w:bookmarkEnd w:id="113"/>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6"/>
      <w:r/>
      <w:bookmarkEnd w:id="107"/>
      <w:r/>
      <w:bookmarkEnd w:id="108"/>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9"/>
      <w:r/>
      <w:bookmarkEnd w:id="110"/>
      <w:r/>
      <w:bookmarkEnd w:id="111"/>
      <w:r/>
      <w:bookmarkStart w:id="114" w:name="_Toc49090508"/>
      <w:r/>
      <w:bookmarkStart w:id="115"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4"/>
      <w:r/>
      <w:bookmarkEnd w:id="115"/>
      <w:r>
        <w:rPr>
          <w:rFonts w:hint="eastAsia" w:ascii="方正楷体_GBK" w:hAnsi="方正楷体_GBK" w:eastAsia="方正楷体_GBK" w:cs="方正楷体_GBK"/>
          <w:b/>
          <w:bCs/>
          <w:color w:val="000000"/>
          <w:sz w:val="28"/>
          <w:szCs w:val="28"/>
          <w:highlight w:val="none"/>
          <w:lang w:val="en-US" w:eastAsia="zh-CN"/>
        </w:rPr>
        <w:t xml:space="preserve">.投标分项报价表（如有）</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6" w:name="_Hlt26954840"/>
      <w:r/>
      <w:bookmarkEnd w:id="116"/>
      <w:r>
        <w:rPr>
          <w:rFonts w:hint="eastAsia" w:ascii="宋体" w:hAnsi="宋体" w:eastAsia="宋体" w:cs="Times New Roman"/>
          <w:color w:val="000000"/>
          <w:sz w:val="24"/>
          <w:highlight w:val="none"/>
        </w:rPr>
        <w:t xml:space="preserve">标人应按照招标文件规定格式填报</w:t>
      </w:r>
      <w:bookmarkStart w:id="117" w:name="_Hlt26670399"/>
      <w:r/>
      <w:bookmarkEnd w:id="117"/>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18" w:name="_Hlt26670425"/>
      <w:r/>
      <w:bookmarkEnd w:id="118"/>
      <w:r/>
      <w:bookmarkStart w:id="119" w:name="_Hlt26954848"/>
      <w:r/>
      <w:bookmarkEnd w:id="119"/>
      <w:r/>
      <w:bookmarkStart w:id="120" w:name="_Hlt26954846"/>
      <w:r/>
      <w:bookmarkEnd w:id="120"/>
      <w:r/>
      <w:bookmarkStart w:id="121" w:name="_Hlt26954842"/>
      <w:r/>
      <w:bookmarkEnd w:id="121"/>
      <w:r/>
      <w:bookmarkStart w:id="122" w:name="_Hlt26668983"/>
      <w:r/>
      <w:bookmarkEnd w:id="122"/>
      <w:r/>
      <w:bookmarkStart w:id="123" w:name="_Hlt26954731"/>
      <w:r/>
      <w:bookmarkEnd w:id="123"/>
      <w:r/>
      <w:bookmarkStart w:id="124" w:name="_Hlt26670482"/>
      <w:r/>
      <w:bookmarkEnd w:id="124"/>
      <w:r/>
      <w:bookmarkStart w:id="125" w:name="_Hlt26954844"/>
      <w:r/>
      <w:bookmarkEnd w:id="125"/>
      <w:r/>
      <w:bookmarkStart w:id="126" w:name="_Hlt26670486"/>
      <w:r/>
      <w:bookmarkEnd w:id="126"/>
      <w:r/>
      <w:bookmarkStart w:id="127" w:name="_Hlt26670403"/>
      <w:r/>
      <w:bookmarkEnd w:id="127"/>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28" w:name="_Toc14577359"/>
      <w:r/>
      <w:bookmarkStart w:id="129" w:name="_Toc49090510"/>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28"/>
      <w:r/>
      <w:bookmarkEnd w:id="129"/>
      <w:r/>
      <w:bookmarkStart w:id="130" w:name="_Toc14577360"/>
      <w:r/>
      <w:bookmarkStart w:id="131" w:name="_Toc49090511"/>
      <w:r/>
      <w:bookmarkStart w:id="132" w:name="_Hlt26954734"/>
      <w:r/>
      <w:bookmarkEnd w:id="132"/>
      <w:r/>
      <w:bookmarkStart w:id="133" w:name="_Hlt26670489"/>
      <w:r/>
      <w:bookmarkEnd w:id="133"/>
      <w:r/>
      <w:bookmarkStart w:id="134" w:name="_Hlt26954850"/>
      <w:r/>
      <w:bookmarkEnd w:id="134"/>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0"/>
      <w:r/>
      <w:bookmarkEnd w:id="131"/>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5" w:name="_Toc513029224"/>
      <w:r/>
      <w:bookmarkStart w:id="136" w:name="_Toc20823296"/>
      <w:r/>
      <w:bookmarkStart w:id="137" w:name="_Toc20823309"/>
      <w:r/>
      <w:bookmarkStart w:id="138" w:name="_Hlt26954739"/>
      <w:r/>
      <w:bookmarkEnd w:id="138"/>
      <w:r/>
      <w:bookmarkStart w:id="139" w:name="_Toc120614217"/>
      <w:r/>
      <w:bookmarkStart w:id="140" w:name="_Toc16938540"/>
      <w:r/>
      <w:bookmarkStart w:id="141" w:name="_Hlt26954852"/>
      <w:r/>
      <w:bookmarkEnd w:id="141"/>
      <w:r/>
      <w:bookmarkStart w:id="142" w:name="_Toc16938553"/>
      <w:r/>
      <w:bookmarkStart w:id="143" w:name="_Toc513029237"/>
      <w:r>
        <w:rPr>
          <w:rFonts w:hint="eastAsia" w:ascii="方正黑体_GBK" w:hAnsi="方正黑体_GBK" w:eastAsia="方正黑体_GBK" w:cs="方正黑体_GBK"/>
          <w:b w:val="0"/>
          <w:bCs w:val="0"/>
          <w:color w:val="000000"/>
          <w:sz w:val="30"/>
          <w:szCs w:val="30"/>
          <w:highlight w:val="none"/>
        </w:rPr>
        <w:t xml:space="preserve">四、投标文件的递交</w:t>
      </w:r>
      <w:bookmarkEnd w:id="135"/>
      <w:r/>
      <w:bookmarkEnd w:id="136"/>
      <w:r/>
      <w:bookmarkEnd w:id="139"/>
      <w:r/>
      <w:bookmarkEnd w:id="140"/>
      <w:r>
        <w:rPr>
          <w:rFonts w:hint="eastAsia" w:ascii="方正黑体_GBK" w:hAnsi="方正黑体_GBK" w:eastAsia="方正黑体_GBK" w:cs="方正黑体_GBK"/>
          <w:b w:val="0"/>
          <w:bCs w:val="0"/>
          <w:color w:val="000000"/>
          <w:sz w:val="30"/>
          <w:szCs w:val="30"/>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4" w:name="_Toc16938541"/>
      <w:r/>
      <w:bookmarkStart w:id="145" w:name="_Toc513029225"/>
      <w:r/>
      <w:bookmarkStart w:id="146" w:name="_Toc462564084"/>
      <w:r/>
      <w:bookmarkStart w:id="147" w:name="_Toc20823297"/>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513029226"/>
      <w:r/>
      <w:bookmarkStart w:id="149" w:name="_Toc16938542"/>
      <w:r/>
      <w:bookmarkStart w:id="150" w:name="_Toc20823298"/>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1" w:name="_Toc513029227"/>
      <w:r/>
      <w:bookmarkStart w:id="152" w:name="_Toc20823299"/>
      <w:r/>
      <w:bookmarkStart w:id="153"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1"/>
      <w:r/>
      <w:bookmarkEnd w:id="152"/>
      <w:r/>
      <w:bookmarkEnd w:id="153"/>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4" w:name="_Toc16938544"/>
      <w:r/>
      <w:bookmarkStart w:id="155" w:name="_Toc20823300"/>
      <w:r/>
      <w:bookmarkStart w:id="156" w:name="_Toc513029228"/>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4"/>
      <w:r/>
      <w:bookmarkEnd w:id="155"/>
      <w:r/>
      <w:bookmarkEnd w:id="156"/>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20823301"/>
      <w:r/>
      <w:bookmarkStart w:id="158" w:name="_Toc16938545"/>
      <w:r/>
      <w:bookmarkStart w:id="159" w:name="_Toc120614218"/>
      <w:r/>
      <w:bookmarkStart w:id="160" w:name="_Toc513029229"/>
      <w:r>
        <w:rPr>
          <w:rFonts w:hint="eastAsia" w:ascii="宋体" w:hAnsi="宋体" w:eastAsia="宋体" w:cs="Times New Roman"/>
          <w:color w:val="000000"/>
          <w:sz w:val="24"/>
          <w:highlight w:val="none"/>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1" w:name="_Toc20823302"/>
      <w:r/>
      <w:bookmarkStart w:id="162" w:name="_Toc513029230"/>
      <w:r/>
      <w:bookmarkStart w:id="163" w:name="_Toc16938546"/>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1"/>
      <w:r/>
      <w:bookmarkEnd w:id="162"/>
      <w:r/>
      <w:bookmarkEnd w:id="163"/>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4" w:name="_Toc20823303"/>
      <w:r/>
      <w:bookmarkStart w:id="165" w:name="_Toc16938547"/>
      <w:r/>
      <w:bookmarkStart w:id="166" w:name="_Toc513029231"/>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4"/>
      <w:r/>
      <w:bookmarkEnd w:id="165"/>
      <w:r/>
      <w:bookmarkEnd w:id="16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7" w:name="_Toc513029232"/>
      <w:r/>
      <w:bookmarkStart w:id="168" w:name="_Toc16938548"/>
      <w:r/>
      <w:bookmarkStart w:id="169" w:name="_Toc20823304"/>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7"/>
      <w:r/>
      <w:bookmarkEnd w:id="168"/>
      <w:r/>
      <w:bookmarkEnd w:id="169"/>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70" w:name="_Toc16938549"/>
      <w:r/>
      <w:bookmarkStart w:id="171" w:name="_Toc513029233"/>
      <w:r/>
      <w:bookmarkStart w:id="172"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0"/>
      <w:r/>
      <w:bookmarkEnd w:id="171"/>
      <w:r/>
      <w:bookmarkEnd w:id="172"/>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3" w:name="_Toc513029234"/>
      <w:r/>
      <w:bookmarkStart w:id="174" w:name="_Toc20823306"/>
      <w:r/>
      <w:bookmarkStart w:id="175" w:name="_Toc1693855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highlight w:val="none"/>
          <w:lang w:val="zh-CN" w:eastAsia="zh-CN"/>
        </w:rPr>
        <w:t xml:space="preserve">24.7 </w:t>
      </w:r>
      <w:r>
        <w:rPr>
          <w:rFonts w:hint="eastAsia" w:ascii="宋体" w:hAnsi="宋体" w:eastAsia="宋体" w:cs="Times New Roman"/>
          <w:color w:val="000000"/>
          <w:sz w:val="24"/>
          <w:szCs w:val="21"/>
          <w:highlight w:val="none"/>
          <w:lang w:val="zh-CN"/>
        </w:rPr>
        <w:t xml:space="preserve">异常低价审查</w:t>
      </w:r>
      <w:r>
        <w:rPr>
          <w:rFonts w:hint="eastAsia" w:ascii="宋体" w:hAnsi="宋体" w:eastAsia="宋体" w:cs="Times New Roman"/>
          <w:color w:val="000000"/>
          <w:sz w:val="24"/>
          <w:szCs w:val="21"/>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spacing w:line="240" w:lineRule="auto"/>
        <w:rPr>
          <w:rFonts w:hint="eastAsia"/>
          <w:color w:val="000000"/>
          <w:highlight w:val="none"/>
          <w:lang w:val="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color w:val="000000"/>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3"/>
      <w:r/>
      <w:bookmarkEnd w:id="174"/>
      <w:r/>
      <w:bookmarkEnd w:id="175"/>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6" w:name="_Toc20823307"/>
      <w:r/>
      <w:bookmarkStart w:id="177" w:name="_Toc16938551"/>
      <w:r/>
      <w:bookmarkStart w:id="178" w:name="_Toc513029235"/>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不符合招标文件中实质性要求和条件的</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val="0"/>
          <w:bCs w:val="0"/>
          <w:color w:val="000000"/>
          <w:sz w:val="24"/>
          <w:highlight w:val="none"/>
          <w:lang w:val="zh-CN"/>
        </w:rPr>
        <w:t xml:space="preserve">2</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lang w:val="zh-CN"/>
        </w:rPr>
        <w:t xml:space="preserve">.1.10</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b/>
          <w:bCs/>
          <w:color w:val="000000"/>
          <w:sz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37"/>
      <w:r/>
      <w:bookmarkEnd w:id="142"/>
      <w:r/>
      <w:bookmarkEnd w:id="143"/>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80" w:name="_Toc16938554"/>
      <w:r/>
      <w:bookmarkStart w:id="181" w:name="_Toc513029238"/>
      <w:r/>
      <w:bookmarkStart w:id="182" w:name="_Toc20823310"/>
      <w:r>
        <w:rPr>
          <w:rFonts w:hint="eastAsia" w:ascii="方正楷体_GBK" w:hAnsi="方正楷体_GBK" w:eastAsia="方正楷体_GBK" w:cs="方正楷体_GBK"/>
          <w:b/>
          <w:bCs/>
          <w:color w:val="000000"/>
          <w:highlight w:val="none"/>
        </w:rPr>
        <w:t xml:space="preserve">2</w:t>
      </w:r>
      <w:bookmarkEnd w:id="181"/>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0"/>
      <w:r/>
      <w:bookmarkEnd w:id="182"/>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3"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16938552"/>
      <w:r/>
      <w:bookmarkStart w:id="186" w:name="_Toc20823308"/>
      <w:r/>
      <w:bookmarkStart w:id="187"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84"/>
      <w:r>
        <w:rPr>
          <w:rFonts w:hint="eastAsia" w:ascii="方正黑体_GBK" w:hAnsi="方正黑体_GBK" w:eastAsia="方正黑体_GBK" w:cs="方正黑体_GBK"/>
          <w:b w:val="0"/>
          <w:bCs w:val="0"/>
          <w:color w:val="000000"/>
          <w:sz w:val="30"/>
          <w:szCs w:val="30"/>
          <w:highlight w:val="none"/>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5"/>
      <w:r/>
      <w:bookmarkEnd w:id="186"/>
      <w:r/>
      <w:bookmarkEnd w:id="187"/>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南京市公共资源交易平台网站“小企业融资平台”，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ind w:firstLine="420"/>
        <w:jc w:val="left"/>
        <w:spacing w:line="240" w:lineRule="auto"/>
        <w:rPr>
          <w:rFonts w:hint="eastAsia" w:ascii="宋体" w:hAnsi="宋体" w:eastAsia="宋体" w:cs="Times New Roman"/>
          <w:b/>
          <w:bCs/>
          <w:color w:val="000000"/>
          <w:sz w:val="24"/>
          <w:highlight w:val="none"/>
          <w:lang w:val="zh-CN"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6"/>
        <w:ind w:firstLine="420"/>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6"/>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6"/>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rPr>
          <w:rFonts w:hint="eastAsia" w:ascii="宋体" w:hAnsi="宋体" w:eastAsia="宋体" w:cs="Times New Roman"/>
          <w:color w:val="000000"/>
          <w:sz w:val="24"/>
          <w:highlight w:val="none"/>
          <w:lang w:val="en-US"/>
        </w:rPr>
      </w:r>
      <w:r/>
    </w:p>
    <w:p>
      <w:pPr>
        <w:pStyle w:val="876"/>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6"/>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5"/>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43.</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43.2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43.3本国产品标准的适用范围</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71"/>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43.4对本国产品的支持政策</w:t>
      </w:r>
      <w:r>
        <w:rPr>
          <w:rFonts w:ascii="宋体" w:hAnsi="宋体" w:eastAsia="宋体" w:cs="Times New Roman"/>
          <w:color w:val="000000"/>
          <w:sz w:val="24"/>
          <w:highlight w:val="none"/>
          <w:lang w:val="en-US" w:eastAsia="zh-CN"/>
        </w:rPr>
      </w:r>
      <w:r/>
    </w:p>
    <w:p>
      <w:pPr>
        <w:pStyle w:val="871"/>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71"/>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43.5政策执行要求</w:t>
      </w:r>
      <w:r>
        <w:rPr>
          <w:rFonts w:ascii="宋体" w:hAnsi="宋体" w:eastAsia="宋体" w:cs="Times New Roman"/>
          <w:b w:val="0"/>
          <w:bCs w:val="0"/>
          <w:color w:val="000000"/>
          <w:sz w:val="24"/>
          <w:highlight w:val="none"/>
          <w:lang w:val="en-US" w:eastAsia="zh-CN"/>
        </w:rPr>
      </w:r>
      <w:r/>
    </w:p>
    <w:p>
      <w:pPr>
        <w:pStyle w:val="871"/>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71"/>
        <w:ind w:firstLine="420"/>
        <w:rPr>
          <w:color w:val="000000"/>
          <w:highlight w:val="none"/>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color w:val="000000"/>
          <w:highlight w:val="none"/>
        </w:rPr>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4</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49"/>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188" w:name="_Toc513029243"/>
      <w:r/>
      <w:bookmarkStart w:id="189" w:name="_Toc20823315"/>
      <w:r/>
      <w:bookmarkStart w:id="190"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9"/>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2"/>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spacing w:line="264" w:lineRule="auto"/>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00"/>
          <w:sz w:val="24"/>
          <w:szCs w:val="24"/>
          <w:highlight w:val="none"/>
          <w:lang w:val="en-US" w:eastAsia="zh-CN"/>
        </w:rPr>
        <w:t xml:space="preserve">无。</w:t>
      </w:r>
      <w:r>
        <w:rPr>
          <w:rFonts w:hint="eastAsia" w:ascii="宋体" w:hAnsi="宋体" w:eastAsia="宋体" w:cs="Courier New"/>
          <w:color w:val="000000"/>
          <w:sz w:val="24"/>
          <w:szCs w:val="24"/>
          <w:highlight w:val="none"/>
          <w:lang w:val="zh-CN" w:eastAsia="zh-CN"/>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bookmarkStart w:id="191" w:name="OLE_LINK1"/>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0.1%</w:t>
      </w:r>
      <w:bookmarkEnd w:id="191"/>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0.</w:t>
      </w:r>
      <w:r>
        <w:rPr>
          <w:rFonts w:ascii="宋体" w:hAnsi="宋体" w:cs="Courier New"/>
          <w:color w:val="000000"/>
          <w:sz w:val="24"/>
          <w:szCs w:val="24"/>
          <w:highlight w:val="none"/>
          <w:u w:val="single"/>
        </w:rPr>
        <w:t xml:space="preserve">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0.</w:t>
      </w:r>
      <w:r>
        <w:rPr>
          <w:rFonts w:ascii="宋体" w:hAnsi="宋体" w:cs="Courier New"/>
          <w:color w:val="000000"/>
          <w:sz w:val="24"/>
          <w:szCs w:val="24"/>
          <w:highlight w:val="none"/>
          <w:u w:val="single"/>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88"/>
      <w:r/>
      <w:bookmarkEnd w:id="189"/>
      <w:r/>
      <w:bookmarkEnd w:id="190"/>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2"/>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12"/>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5"/>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2" w:name="_Toc26554093"/>
      <w:r/>
      <w:bookmarkStart w:id="193"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1"/>
        <w:ind w:firstLine="480"/>
        <w:spacing w:line="240" w:lineRule="auto"/>
        <w:widowControl w:val="off"/>
        <w:rPr>
          <w:rFonts w:hint="eastAsia" w:ascii="宋体" w:hAnsi="宋体" w:eastAsia="宋体" w:cs="Courier New"/>
          <w:color w:val="000000"/>
          <w:sz w:val="24"/>
          <w:szCs w:val="24"/>
          <w:highlight w:val="none"/>
          <w:lang w:val="zh-CN" w:eastAsia="zh-CN" w:bidi="ar-SA"/>
        </w:rPr>
      </w:pPr>
      <w:r>
        <w:rPr>
          <w:rFonts w:hint="eastAsia" w:ascii="宋体" w:hAnsi="宋体" w:eastAsia="宋体" w:cs="Courier New"/>
          <w:color w:val="000000"/>
          <w:sz w:val="24"/>
          <w:szCs w:val="24"/>
          <w:highlight w:val="none"/>
          <w:lang w:val="zh-CN" w:eastAsia="zh-CN" w:bidi="ar-SA"/>
        </w:rPr>
        <w:t xml:space="preserve">随着医院信息化建设不断深入，临床业务全流程数字化、一体化管理已成为现代化医院高质量发展的必然趋势。当前</w:t>
      </w:r>
      <w:r>
        <w:rPr>
          <w:rFonts w:hint="eastAsia" w:ascii="宋体" w:hAnsi="宋体" w:eastAsia="宋体" w:cs="Courier New"/>
          <w:color w:val="000000"/>
          <w:sz w:val="24"/>
          <w:szCs w:val="24"/>
          <w:highlight w:val="none"/>
          <w:lang w:val="en-US" w:eastAsia="zh-CN" w:bidi="ar-SA"/>
        </w:rPr>
        <w:t xml:space="preserve">鼓楼医院</w:t>
      </w:r>
      <w:r>
        <w:rPr>
          <w:rFonts w:hint="eastAsia" w:ascii="宋体" w:hAnsi="宋体" w:eastAsia="宋体" w:cs="Courier New"/>
          <w:color w:val="000000"/>
          <w:sz w:val="24"/>
          <w:szCs w:val="24"/>
          <w:highlight w:val="none"/>
          <w:lang w:val="zh-CN" w:eastAsia="zh-CN" w:bidi="ar-SA"/>
        </w:rPr>
        <w:t xml:space="preserve">院内康复治疗业务在流程规范、信息互通、数据管理等方面仍存在提升空间，为规范诊疗与管理流程，需建设康复数字化管理系统，统一规范院内康复治疗全业务流程，构建全院“临床+康复”一体化信息管理模式，推动医院康复医学的发展。</w:t>
      </w:r>
      <w:r>
        <w:rPr>
          <w:rFonts w:hint="eastAsia" w:ascii="宋体" w:hAnsi="宋体" w:eastAsia="宋体" w:cs="Courier New"/>
          <w:color w:val="000000"/>
          <w:sz w:val="24"/>
          <w:szCs w:val="24"/>
          <w:highlight w:val="none"/>
          <w:lang w:val="zh-CN"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1)《“健康中国2030”规划》国务院2016-10-25；</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2)《国务院办公厅关于促进和规范健康医疗大数据应用发展的指导意见》国办发〔2016〕47号；</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3)《电子病历系统功能应用水平分级评价方法及标准（试行）》国卫办医函〔2018〕1079号；</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4)智慧医疗分级评价方法及标准（2025版）；</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5)《全国医院信息化建设标准与规范（试行）》国卫办规划发〔2018〕4号；</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6)《医院信息互联互通标准化成熟度测评方案（2020年版）》国卫统信便函〔2020〕30号；</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7)《医院信息平台应用功能指引》国卫办规划函〔2016〕1110号；</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8)中华人民共和国网络安全法；</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9)智慧医院服务分级评估标准体系（试行）；</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10)三级医院评审标准（2022年版）；</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11)三级公立医院绩效考核操作手册（2024版）；</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12)全国医院信息化建设标准与规范（试行）。</w:t>
      </w:r>
      <w:r>
        <w:rPr>
          <w:rFonts w:ascii="宋体" w:hAnsi="宋体" w:cs="宋体"/>
          <w:color w:val="000000"/>
          <w:sz w:val="24"/>
          <w:szCs w:val="24"/>
          <w:highlight w:val="none"/>
        </w:rPr>
      </w:r>
      <w:r/>
    </w:p>
    <w:p>
      <w:pPr>
        <w:pStyle w:val="871"/>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以上标准如有更新，按更新后的标准执行。此外还需遵循国家、行业及地方现行的规范和标准。</w:t>
      </w:r>
      <w:r>
        <w:rPr>
          <w:rFonts w:ascii="宋体" w:hAnsi="宋体" w:cs="宋体"/>
          <w:color w:val="000000"/>
          <w:sz w:val="24"/>
          <w:szCs w:val="24"/>
          <w:highlight w:val="none"/>
        </w:rPr>
      </w:r>
      <w:r/>
    </w:p>
    <w:p>
      <w:pPr>
        <w:pStyle w:val="871"/>
        <w:numPr>
          <w:ilvl w:val="0"/>
          <w:numId w:val="5"/>
        </w:num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5"/>
        <w:gridCol w:w="754"/>
        <w:gridCol w:w="716"/>
        <w:gridCol w:w="1052"/>
        <w:gridCol w:w="1064"/>
        <w:gridCol w:w="1323"/>
        <w:gridCol w:w="1094"/>
        <w:gridCol w:w="1128"/>
        <w:gridCol w:w="1005"/>
      </w:tblGrid>
      <w:tr>
        <w:trPr>
          <w:trHeight w:val="470"/>
        </w:trPr>
        <w:tc>
          <w:tcPr>
            <w:tcW w:w="274"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ascii="宋体" w:hAnsi="宋体"/>
                <w:bCs/>
                <w:color w:val="000000"/>
                <w:sz w:val="24"/>
                <w:szCs w:val="24"/>
                <w:highlight w:val="none"/>
              </w:rPr>
            </w:r>
            <w:r/>
          </w:p>
        </w:tc>
        <w:tc>
          <w:tcPr>
            <w:tcW w:w="674" w:type="dxa"/>
            <w:vAlign w:val="center"/>
            <w:textDirection w:val="lrTb"/>
            <w:noWrap w:val="false"/>
          </w:tcPr>
          <w:p>
            <w:pPr>
              <w:pStyle w:val="871"/>
              <w:jc w:val="center"/>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分项名称</w:t>
            </w:r>
            <w:r>
              <w:rPr>
                <w:rFonts w:hint="eastAsia" w:ascii="宋体" w:hAnsi="宋体" w:eastAsia="宋体" w:cs="宋体"/>
                <w:b w:val="0"/>
                <w:bCs/>
                <w:color w:val="000000"/>
                <w:sz w:val="24"/>
                <w:szCs w:val="24"/>
                <w:highlight w:val="none"/>
              </w:rPr>
            </w:r>
            <w:r/>
          </w:p>
        </w:tc>
        <w:tc>
          <w:tcPr>
            <w:tcW w:w="375"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数量</w:t>
            </w:r>
            <w:r>
              <w:rPr>
                <w:rFonts w:ascii="宋体" w:hAnsi="宋体"/>
                <w:bCs/>
                <w:color w:val="000000"/>
                <w:sz w:val="24"/>
                <w:szCs w:val="24"/>
                <w:highlight w:val="none"/>
              </w:rPr>
            </w:r>
            <w:r/>
          </w:p>
        </w:tc>
        <w:tc>
          <w:tcPr>
            <w:tcW w:w="356"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w:t>
            </w:r>
            <w:r>
              <w:rPr>
                <w:rFonts w:ascii="宋体" w:hAnsi="宋体"/>
                <w:bCs/>
                <w:color w:val="000000"/>
                <w:sz w:val="24"/>
                <w:szCs w:val="24"/>
                <w:highlight w:val="none"/>
              </w:rPr>
            </w:r>
            <w:r/>
          </w:p>
        </w:tc>
        <w:tc>
          <w:tcPr>
            <w:tcW w:w="523"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产品类型</w:t>
            </w:r>
            <w:r>
              <w:rPr>
                <w:rFonts w:ascii="宋体" w:hAnsi="宋体"/>
                <w:bCs/>
                <w:color w:val="000000"/>
                <w:sz w:val="24"/>
                <w:szCs w:val="24"/>
                <w:highlight w:val="none"/>
              </w:rPr>
            </w:r>
            <w:r/>
          </w:p>
        </w:tc>
        <w:tc>
          <w:tcPr>
            <w:tcW w:w="529"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单价上限</w:t>
            </w:r>
            <w:r>
              <w:rPr>
                <w:rFonts w:ascii="宋体" w:hAnsi="宋体"/>
                <w:bCs/>
                <w:color w:val="000000"/>
                <w:sz w:val="24"/>
                <w:szCs w:val="24"/>
                <w:highlight w:val="none"/>
              </w:rPr>
            </w:r>
            <w:r/>
          </w:p>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tc>
        <w:tc>
          <w:tcPr>
            <w:tcW w:w="658"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所属行业</w:t>
            </w:r>
            <w:r>
              <w:rPr>
                <w:rFonts w:ascii="宋体" w:hAnsi="宋体"/>
                <w:bCs/>
                <w:color w:val="000000"/>
                <w:sz w:val="24"/>
                <w:szCs w:val="24"/>
                <w:highlight w:val="none"/>
              </w:rPr>
            </w:r>
            <w:r/>
          </w:p>
        </w:tc>
        <w:tc>
          <w:tcPr>
            <w:tcW w:w="544"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属性</w:t>
            </w:r>
            <w:r>
              <w:rPr>
                <w:rFonts w:ascii="宋体" w:hAnsi="宋体"/>
                <w:bCs/>
                <w:color w:val="000000"/>
                <w:sz w:val="24"/>
                <w:szCs w:val="24"/>
                <w:highlight w:val="none"/>
              </w:rPr>
            </w:r>
            <w:r/>
          </w:p>
        </w:tc>
        <w:tc>
          <w:tcPr>
            <w:tcW w:w="561"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数据交易类型（如有）</w:t>
            </w:r>
            <w:r>
              <w:rPr>
                <w:rFonts w:ascii="宋体" w:hAnsi="宋体" w:cs="宋体"/>
                <w:bCs/>
                <w:color w:val="000000"/>
                <w:sz w:val="24"/>
                <w:szCs w:val="24"/>
                <w:highlight w:val="none"/>
              </w:rPr>
            </w:r>
            <w:r/>
          </w:p>
        </w:tc>
        <w:tc>
          <w:tcPr>
            <w:tcW w:w="500"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政府强制采购节能产品（如有）</w:t>
            </w:r>
            <w:r>
              <w:rPr>
                <w:rFonts w:ascii="宋体" w:hAnsi="宋体" w:cs="宋体"/>
                <w:bCs/>
                <w:color w:val="000000"/>
                <w:sz w:val="24"/>
                <w:szCs w:val="24"/>
                <w:highlight w:val="none"/>
              </w:rPr>
            </w:r>
            <w:r/>
          </w:p>
        </w:tc>
      </w:tr>
      <w:tr>
        <w:trPr>
          <w:trHeight w:val="597"/>
        </w:trPr>
        <w:tc>
          <w:tcPr>
            <w:tcW w:w="274"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bCs/>
                <w:color w:val="000000"/>
                <w:sz w:val="24"/>
                <w:szCs w:val="24"/>
                <w:highlight w:val="none"/>
              </w:rPr>
            </w:r>
            <w:r/>
          </w:p>
        </w:tc>
        <w:tc>
          <w:tcPr>
            <w:tcW w:w="674" w:type="dxa"/>
            <w:vAlign w:val="center"/>
            <w:textDirection w:val="lrTb"/>
            <w:noWrap w:val="false"/>
          </w:tcPr>
          <w:p>
            <w:pPr>
              <w:pStyle w:val="871"/>
              <w:jc w:val="center"/>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康复数字化管理系统</w:t>
            </w:r>
            <w:r>
              <w:rPr>
                <w:rFonts w:hint="eastAsia" w:ascii="宋体" w:hAnsi="宋体" w:eastAsia="宋体" w:cs="宋体"/>
                <w:b w:val="0"/>
                <w:bCs/>
                <w:color w:val="000000"/>
                <w:sz w:val="24"/>
                <w:szCs w:val="24"/>
                <w:highlight w:val="none"/>
              </w:rPr>
            </w:r>
            <w:r/>
          </w:p>
        </w:tc>
        <w:tc>
          <w:tcPr>
            <w:tcW w:w="375"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bCs/>
                <w:color w:val="000000"/>
                <w:sz w:val="24"/>
                <w:szCs w:val="24"/>
                <w:highlight w:val="none"/>
              </w:rPr>
            </w:r>
            <w:r/>
          </w:p>
        </w:tc>
        <w:tc>
          <w:tcPr>
            <w:tcW w:w="356"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套</w:t>
            </w:r>
            <w:r>
              <w:rPr>
                <w:rFonts w:ascii="宋体" w:hAnsi="宋体" w:cs="宋体"/>
                <w:bCs/>
                <w:color w:val="000000"/>
                <w:sz w:val="24"/>
                <w:szCs w:val="24"/>
                <w:highlight w:val="none"/>
              </w:rPr>
            </w:r>
            <w:r/>
          </w:p>
        </w:tc>
        <w:tc>
          <w:tcPr>
            <w:tcW w:w="523"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主要产品</w:t>
            </w:r>
            <w:r>
              <w:rPr>
                <w:rFonts w:ascii="宋体" w:hAnsi="宋体"/>
                <w:bCs/>
                <w:color w:val="000000"/>
                <w:sz w:val="24"/>
                <w:szCs w:val="24"/>
                <w:highlight w:val="none"/>
              </w:rPr>
            </w:r>
            <w:r/>
          </w:p>
        </w:tc>
        <w:tc>
          <w:tcPr>
            <w:tcW w:w="529"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bCs/>
                <w:color w:val="000000"/>
                <w:sz w:val="24"/>
                <w:szCs w:val="24"/>
                <w:highlight w:val="none"/>
              </w:rPr>
            </w:r>
            <w:r/>
          </w:p>
        </w:tc>
        <w:tc>
          <w:tcPr>
            <w:tcW w:w="658"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544"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c>
          <w:tcPr>
            <w:tcW w:w="561"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500"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否</w:t>
            </w:r>
            <w:r>
              <w:rPr>
                <w:rFonts w:ascii="宋体" w:hAnsi="宋体" w:cs="宋体"/>
                <w:bCs/>
                <w:color w:val="000000"/>
                <w:sz w:val="24"/>
                <w:szCs w:val="24"/>
                <w:highlight w:val="none"/>
              </w:rPr>
            </w:r>
            <w:r/>
          </w:p>
        </w:tc>
      </w:tr>
      <w:tr>
        <w:trPr>
          <w:trHeight w:val="597"/>
        </w:trPr>
        <w:tc>
          <w:tcPr>
            <w:tcW w:w="274"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bCs/>
                <w:color w:val="000000"/>
                <w:sz w:val="24"/>
                <w:szCs w:val="24"/>
                <w:highlight w:val="none"/>
              </w:rPr>
            </w:r>
            <w:r/>
          </w:p>
        </w:tc>
        <w:tc>
          <w:tcPr>
            <w:tcW w:w="674" w:type="dxa"/>
            <w:vAlign w:val="center"/>
            <w:textDirection w:val="lrTb"/>
            <w:noWrap w:val="false"/>
          </w:tcPr>
          <w:p>
            <w:pPr>
              <w:pStyle w:val="871"/>
              <w:jc w:val="center"/>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平板电脑</w:t>
            </w:r>
            <w:r>
              <w:rPr>
                <w:rFonts w:hint="eastAsia" w:ascii="宋体" w:hAnsi="宋体" w:eastAsia="宋体" w:cs="宋体"/>
                <w:b w:val="0"/>
                <w:bCs/>
                <w:color w:val="000000"/>
                <w:sz w:val="24"/>
                <w:szCs w:val="24"/>
                <w:highlight w:val="none"/>
              </w:rPr>
            </w:r>
            <w:r/>
          </w:p>
        </w:tc>
        <w:tc>
          <w:tcPr>
            <w:tcW w:w="375"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bCs/>
                <w:color w:val="000000"/>
                <w:sz w:val="24"/>
                <w:szCs w:val="24"/>
                <w:highlight w:val="none"/>
              </w:rPr>
            </w:r>
            <w:r/>
          </w:p>
        </w:tc>
        <w:tc>
          <w:tcPr>
            <w:tcW w:w="356"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台</w:t>
            </w:r>
            <w:r>
              <w:rPr>
                <w:rFonts w:ascii="宋体" w:hAnsi="宋体" w:cs="宋体"/>
                <w:bCs/>
                <w:color w:val="000000"/>
                <w:sz w:val="24"/>
                <w:szCs w:val="24"/>
                <w:highlight w:val="none"/>
              </w:rPr>
            </w:r>
            <w:r/>
          </w:p>
        </w:tc>
        <w:tc>
          <w:tcPr>
            <w:tcW w:w="523"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tc>
        <w:tc>
          <w:tcPr>
            <w:tcW w:w="529"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3000</w:t>
            </w:r>
            <w:r>
              <w:rPr>
                <w:rFonts w:ascii="宋体" w:hAnsi="宋体"/>
                <w:bCs/>
                <w:color w:val="000000"/>
                <w:sz w:val="24"/>
                <w:szCs w:val="24"/>
                <w:highlight w:val="none"/>
              </w:rPr>
            </w:r>
            <w:r/>
          </w:p>
        </w:tc>
        <w:tc>
          <w:tcPr>
            <w:tcW w:w="658"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工业</w:t>
            </w:r>
            <w:r>
              <w:rPr>
                <w:rFonts w:ascii="宋体" w:hAnsi="宋体" w:cs="宋体"/>
                <w:bCs/>
                <w:color w:val="000000"/>
                <w:sz w:val="24"/>
                <w:szCs w:val="24"/>
                <w:highlight w:val="none"/>
              </w:rPr>
            </w:r>
            <w:r/>
          </w:p>
        </w:tc>
        <w:tc>
          <w:tcPr>
            <w:tcW w:w="544"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w:t>
            </w:r>
            <w:r>
              <w:rPr>
                <w:rFonts w:ascii="宋体" w:hAnsi="宋体" w:cs="宋体"/>
                <w:bCs/>
                <w:color w:val="000000"/>
                <w:sz w:val="24"/>
                <w:szCs w:val="24"/>
                <w:highlight w:val="none"/>
              </w:rPr>
            </w:r>
            <w:r/>
          </w:p>
        </w:tc>
        <w:tc>
          <w:tcPr>
            <w:tcW w:w="561"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500"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是</w:t>
            </w:r>
            <w:r>
              <w:rPr>
                <w:rFonts w:ascii="宋体" w:hAnsi="宋体" w:cs="宋体"/>
                <w:bCs/>
                <w:color w:val="000000"/>
                <w:sz w:val="24"/>
                <w:szCs w:val="24"/>
                <w:highlight w:val="none"/>
              </w:rPr>
            </w:r>
            <w:r/>
          </w:p>
        </w:tc>
      </w:tr>
      <w:tr>
        <w:trPr>
          <w:trHeight w:val="597"/>
        </w:trPr>
        <w:tc>
          <w:tcPr>
            <w:tcW w:w="274"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bCs/>
                <w:color w:val="000000"/>
                <w:sz w:val="24"/>
                <w:szCs w:val="24"/>
                <w:highlight w:val="none"/>
              </w:rPr>
            </w:r>
            <w:r/>
          </w:p>
        </w:tc>
        <w:tc>
          <w:tcPr>
            <w:tcW w:w="674" w:type="dxa"/>
            <w:vAlign w:val="center"/>
            <w:textDirection w:val="lrTb"/>
            <w:noWrap w:val="false"/>
          </w:tcPr>
          <w:p>
            <w:pPr>
              <w:pStyle w:val="871"/>
              <w:jc w:val="center"/>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PDA智能终端</w:t>
            </w:r>
            <w:r>
              <w:rPr>
                <w:rFonts w:hint="eastAsia" w:ascii="宋体" w:hAnsi="宋体" w:eastAsia="宋体" w:cs="宋体"/>
                <w:b w:val="0"/>
                <w:bCs/>
                <w:color w:val="000000"/>
                <w:sz w:val="24"/>
                <w:szCs w:val="24"/>
                <w:highlight w:val="none"/>
              </w:rPr>
            </w:r>
            <w:r/>
          </w:p>
        </w:tc>
        <w:tc>
          <w:tcPr>
            <w:tcW w:w="375"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4</w:t>
            </w:r>
            <w:r>
              <w:rPr>
                <w:rFonts w:ascii="宋体" w:hAnsi="宋体"/>
                <w:bCs/>
                <w:color w:val="000000"/>
                <w:sz w:val="24"/>
                <w:szCs w:val="24"/>
                <w:highlight w:val="none"/>
              </w:rPr>
            </w:r>
            <w:r/>
          </w:p>
        </w:tc>
        <w:tc>
          <w:tcPr>
            <w:tcW w:w="356"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台</w:t>
            </w:r>
            <w:r>
              <w:rPr>
                <w:rFonts w:ascii="宋体" w:hAnsi="宋体" w:cs="宋体"/>
                <w:bCs/>
                <w:color w:val="000000"/>
                <w:sz w:val="24"/>
                <w:szCs w:val="24"/>
                <w:highlight w:val="none"/>
              </w:rPr>
            </w:r>
            <w:r/>
          </w:p>
        </w:tc>
        <w:tc>
          <w:tcPr>
            <w:tcW w:w="523"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tc>
        <w:tc>
          <w:tcPr>
            <w:tcW w:w="529" w:type="dxa"/>
            <w:vAlign w:val="center"/>
            <w:textDirection w:val="lrTb"/>
            <w:noWrap w:val="false"/>
          </w:tcPr>
          <w:p>
            <w:pPr>
              <w:pStyle w:val="871"/>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3000</w:t>
            </w:r>
            <w:r>
              <w:rPr>
                <w:rFonts w:ascii="宋体" w:hAnsi="宋体"/>
                <w:bCs/>
                <w:color w:val="000000"/>
                <w:sz w:val="24"/>
                <w:szCs w:val="24"/>
                <w:highlight w:val="none"/>
              </w:rPr>
            </w:r>
            <w:r/>
          </w:p>
        </w:tc>
        <w:tc>
          <w:tcPr>
            <w:tcW w:w="658"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工业</w:t>
            </w:r>
            <w:r>
              <w:rPr>
                <w:rFonts w:ascii="宋体" w:hAnsi="宋体" w:cs="宋体"/>
                <w:bCs/>
                <w:color w:val="000000"/>
                <w:sz w:val="24"/>
                <w:szCs w:val="24"/>
                <w:highlight w:val="none"/>
              </w:rPr>
            </w:r>
            <w:r/>
          </w:p>
        </w:tc>
        <w:tc>
          <w:tcPr>
            <w:tcW w:w="544"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w:t>
            </w:r>
            <w:r>
              <w:rPr>
                <w:rFonts w:ascii="宋体" w:hAnsi="宋体" w:cs="宋体"/>
                <w:bCs/>
                <w:color w:val="000000"/>
                <w:sz w:val="24"/>
                <w:szCs w:val="24"/>
                <w:highlight w:val="none"/>
              </w:rPr>
            </w:r>
            <w:r/>
          </w:p>
        </w:tc>
        <w:tc>
          <w:tcPr>
            <w:tcW w:w="561" w:type="dxa"/>
            <w:vAlign w:val="center"/>
            <w:textDirection w:val="lrTb"/>
            <w:noWrap w:val="false"/>
          </w:tcPr>
          <w:p>
            <w:pPr>
              <w:pStyle w:val="871"/>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500" w:type="dxa"/>
            <w:vAlign w:val="center"/>
            <w:textDirection w:val="lrTb"/>
            <w:noWrap w:val="false"/>
          </w:tcPr>
          <w:p>
            <w:pPr>
              <w:pStyle w:val="871"/>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eastAsia="zh-CN"/>
              </w:rPr>
            </w:r>
            <w:r/>
          </w:p>
        </w:tc>
      </w:tr>
    </w:tbl>
    <w:p>
      <w:pPr>
        <w:pStyle w:val="883"/>
        <w:numPr>
          <w:ilvl w:val="0"/>
          <w:numId w:val="0"/>
        </w:numPr>
        <w:rPr>
          <w:rFonts w:hint="eastAsia"/>
          <w:color w:val="000000"/>
          <w:highlight w:val="none"/>
          <w:lang w:eastAsia="zh-CN"/>
        </w:rPr>
      </w:pPr>
      <w:r>
        <w:rPr>
          <w:rFonts w:hint="eastAsia"/>
          <w:color w:val="000000"/>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康复数字化管理系统</w:t>
      </w:r>
      <w:r>
        <w:rPr>
          <w:rFonts w:ascii="宋体" w:hAnsi="宋体" w:eastAsia="宋体" w:cs="宋体"/>
          <w:bCs/>
          <w:color w:val="000000"/>
          <w:sz w:val="24"/>
          <w:szCs w:val="24"/>
          <w:highlight w:val="none"/>
          <w:lang w:val="en-US" w:eastAsia="zh-CN"/>
        </w:rPr>
      </w:r>
      <w:r/>
    </w:p>
    <w:tbl>
      <w:tblPr>
        <w:tblW w:w="95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196"/>
        <w:gridCol w:w="877"/>
        <w:gridCol w:w="6585"/>
      </w:tblGrid>
      <w:tr>
        <w:trPr>
          <w:trHeight w:val="457"/>
          <w:tblHeader/>
        </w:trPr>
        <w:tc>
          <w:tcPr>
            <w:tcW w:w="851" w:type="dxa"/>
            <w:vAlign w:val="center"/>
            <w:textDirection w:val="lrTb"/>
            <w:noWrap w:val="false"/>
          </w:tcPr>
          <w:p>
            <w:pPr>
              <w:pStyle w:val="1000"/>
              <w:jc w:val="center"/>
              <w:rPr>
                <w:rFonts w:ascii="宋体" w:hAnsi="宋体" w:cs="宋体"/>
                <w:b/>
                <w:bCs/>
                <w:color w:val="000000"/>
                <w:highlight w:val="none"/>
                <w:lang w:bidi="ar"/>
              </w:rPr>
            </w:pPr>
            <w:r>
              <w:rPr>
                <w:rFonts w:hint="eastAsia" w:ascii="宋体" w:hAnsi="宋体" w:cs="宋体"/>
                <w:b/>
                <w:bCs/>
                <w:color w:val="000000"/>
                <w:highlight w:val="none"/>
                <w:lang w:bidi="ar"/>
              </w:rPr>
              <w:t xml:space="preserve">序号</w:t>
            </w:r>
            <w:r>
              <w:rPr>
                <w:rFonts w:ascii="宋体" w:hAnsi="宋体" w:cs="宋体"/>
                <w:b/>
                <w:bCs/>
                <w:color w:val="000000"/>
                <w:highlight w:val="none"/>
                <w:lang w:bidi="ar"/>
              </w:rPr>
            </w:r>
            <w:r/>
          </w:p>
        </w:tc>
        <w:tc>
          <w:tcPr>
            <w:tcW w:w="1196" w:type="dxa"/>
            <w:vAlign w:val="center"/>
            <w:textDirection w:val="lrTb"/>
            <w:noWrap w:val="false"/>
          </w:tcPr>
          <w:p>
            <w:pPr>
              <w:pStyle w:val="1000"/>
              <w:jc w:val="center"/>
              <w:rPr>
                <w:rFonts w:ascii="宋体" w:hAnsi="宋体" w:cs="宋体"/>
                <w:b/>
                <w:bCs/>
                <w:color w:val="000000"/>
                <w:highlight w:val="none"/>
                <w:lang w:bidi="ar"/>
              </w:rPr>
            </w:pPr>
            <w:r>
              <w:rPr>
                <w:rFonts w:hint="eastAsia" w:ascii="宋体" w:hAnsi="宋体" w:cs="宋体"/>
                <w:b/>
                <w:bCs/>
                <w:color w:val="000000"/>
                <w:highlight w:val="none"/>
                <w:lang w:bidi="ar"/>
              </w:rPr>
              <w:t xml:space="preserve">模块</w:t>
            </w:r>
            <w:r>
              <w:rPr>
                <w:rFonts w:ascii="宋体" w:hAnsi="宋体" w:cs="宋体"/>
                <w:b/>
                <w:bCs/>
                <w:color w:val="000000"/>
                <w:highlight w:val="none"/>
                <w:lang w:bidi="ar"/>
              </w:rPr>
            </w:r>
            <w:r/>
          </w:p>
        </w:tc>
        <w:tc>
          <w:tcPr>
            <w:tcW w:w="877" w:type="dxa"/>
            <w:vAlign w:val="center"/>
            <w:textDirection w:val="lrTb"/>
            <w:noWrap w:val="false"/>
          </w:tcPr>
          <w:p>
            <w:pPr>
              <w:pStyle w:val="1000"/>
              <w:jc w:val="center"/>
              <w:rPr>
                <w:rFonts w:ascii="宋体" w:hAnsi="宋体" w:cs="宋体"/>
                <w:b/>
                <w:bCs/>
                <w:color w:val="000000"/>
                <w:highlight w:val="none"/>
                <w:lang w:bidi="ar"/>
              </w:rPr>
            </w:pPr>
            <w:r>
              <w:rPr>
                <w:rFonts w:hint="eastAsia" w:ascii="宋体" w:hAnsi="宋体" w:cs="宋体"/>
                <w:b/>
                <w:bCs/>
                <w:color w:val="000000"/>
                <w:highlight w:val="none"/>
                <w:lang w:bidi="ar"/>
              </w:rPr>
              <w:t xml:space="preserve">编号</w:t>
            </w:r>
            <w:r>
              <w:rPr>
                <w:rFonts w:ascii="宋体" w:hAnsi="宋体" w:cs="宋体"/>
                <w:b/>
                <w:bCs/>
                <w:color w:val="000000"/>
                <w:highlight w:val="none"/>
                <w:lang w:bidi="ar"/>
              </w:rPr>
            </w:r>
            <w:r/>
          </w:p>
        </w:tc>
        <w:tc>
          <w:tcPr>
            <w:tcW w:w="6585" w:type="dxa"/>
            <w:vAlign w:val="center"/>
            <w:textDirection w:val="lrTb"/>
            <w:noWrap w:val="false"/>
          </w:tcPr>
          <w:p>
            <w:pPr>
              <w:pStyle w:val="1000"/>
              <w:jc w:val="center"/>
              <w:rPr>
                <w:rFonts w:ascii="宋体" w:hAnsi="宋体" w:cs="宋体"/>
                <w:b/>
                <w:bCs/>
                <w:color w:val="000000"/>
                <w:highlight w:val="none"/>
                <w:lang w:bidi="ar"/>
              </w:rPr>
            </w:pPr>
            <w:r>
              <w:rPr>
                <w:rFonts w:hint="eastAsia" w:ascii="宋体" w:hAnsi="宋体" w:cs="宋体"/>
                <w:b/>
                <w:bCs/>
                <w:color w:val="000000"/>
                <w:highlight w:val="none"/>
                <w:lang w:bidi="ar"/>
              </w:rPr>
              <w:t xml:space="preserve">参数描述</w:t>
            </w:r>
            <w:r>
              <w:rPr>
                <w:rFonts w:ascii="宋体" w:hAnsi="宋体" w:cs="宋体"/>
                <w:b/>
                <w:bCs/>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接口模块</w:t>
            </w: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提供系统运行所需的基础接口。</w:t>
            </w:r>
            <w:r>
              <w:rPr>
                <w:rFonts w:ascii="宋体" w:hAnsi="宋体" w:cs="宋体"/>
                <w:color w:val="000000"/>
                <w:highlight w:val="none"/>
                <w:lang w:bidi="ar"/>
              </w:rPr>
            </w:r>
            <w:r/>
          </w:p>
        </w:tc>
      </w:tr>
      <w:tr>
        <w:trPr>
          <w:trHeight w:val="90"/>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提供电子病历七级评级所需的业务接口和数据接口。</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根据康复核心业务开展所需，对接必备的接口以满足数据交换和共享。</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能够根据省市上级部门要求进行数据对接。</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消息中心</w:t>
            </w: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提供灵活的消息提示机制，支持消息数字展示、速览展示、强制展示等展示方式，支持消息列表可根据关键字、消息状态进行搜索。</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支持根据角色关联的业务权限获取对应的系统提示消息，支持消息自定义处理，可单一处理和批量处理，便于用户快速处理消息。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支持根据医院管理要求配置消息确认方式，包含密码确认、手动确认、无需确认，支持通过查看任务消息进入相关业务模块。</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支持超时提醒，在规定时间内用户未处理消息，登录系统后会提醒并引导用户处理消息。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支持接收并展示第三方系统（病历系统、集成平台等）发送的消息。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支持多提醒方式（强/中/弱），确保重要的消息实时通知到用户，可根据医院实际需求规则，配置不同消息接收模式。</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2.7</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支持根据角色职位对应权限业务有针对性获取系统中的提示消息。如“治疗医嘱已发送消息”由治疗师用户接收。</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2.8</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支持自定义消息是否强制提示，设置为强制提示的消息用户必须查看，用户会收到该消息并处理；未设置强制提示的消息用户可选择是否需要查看该消息。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2.9</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支持快捷选择治疗团队，服务协调人，治疗区负责人下的用户接收并处理消息，各消息模板可选择存在差异，这由消息模板的性质决定。</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2.10</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支持配置消息优先级，分高/中两种级别，高级别消息优先发送，确保重要消息即时通知到位。</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3</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任务中心</w:t>
            </w: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3.1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支持针对个人工作信息进行系统化的跟踪，提供每日工作情况总览功能及任务追踪路径。</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3.2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提供自动化响应编排能力，将未在规定时间内完成的工作任务逐次编排进行警示。</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3.3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提供自动化甄别编排能力，将收费失败的治疗任务编排进行处理。</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3.4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支持任务负责人自定义，可选择治疗区/科室下的用户或指定的用户负责并处理任务，相关人员会在任务首页查看到与自己相关的任务。</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3.5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支持启用任务质控机制，任务质控时间自定义，对于未在规定时间内完成的任务将会警示。</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3.6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支持任务管理人自定义，可设置用户查看超时任务，无操作的任务直接展示。</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4</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个人中心</w:t>
            </w: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4.1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支持对当前账户信息进行编辑维护。</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4.2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支持多病区联合办公，可根据需要切换不同科室/病区进行业务处理，且能实现数据隔离。</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4.3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支持登录用户修改密码、头像、锁定与注销账号功能。</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5</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会话中心</w:t>
            </w: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5.1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支持医生、护士、评估师、治疗师、服务协调人等各类角色在线实时沟通。</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5.2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支持会话消息加密处理功能，确保消息安全，保护用户隐私。</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5.3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支持会话消息永久保存，并可同步随病历统一归档，可随时查看记录。</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5.4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留言消息支持两种类型管理，包含紧急发送和一般发送两种类型功能。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5.5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支持建立群组对患者进行相关讨论功能。支持单患者讨论功能，针对患者一对一单独讨论。</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5.6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支持消息多终端同步。</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患者360</w:t>
            </w: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提供患者管理功能，支持以名片、列表两种方式进行管理；且能同步HIS患者信息。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支持监管患者诊疗进度，收录患者从入院到出院各阶段的诊疗数据集中展示。</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支持名片方式进行管理，名片上需包含患者来源、患者标记、患者身份、费用余额、就诊信息、功能障碍等信息。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支持列表方式进行管理，集成治疗团队管理、患者标记、康复病历夹、康复看板、康复目标、康复评估、治疗执行、评估建议、治疗建议、康复文书、家庭训练、家庭随访等相关功能。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具备业务流程定位功能，支持定位患者当前诊疗的流程阶段。</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具备流程时间监管功能，支持在流程节点上呈现各诊疗业务开展的具体日期。</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6.7</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支持患者可扩展编辑信息功能，具备患者风险标记功能，提高评估或治疗风险控制。</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6.8</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支持实时同步HIS患者信息功能，保证患者信息与院内其他系统的信息一致。</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6.9</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具备将患者治疗信息导出PPT文档功能，具体样式通过模板指定。</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6.10</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具备对于多次就诊的患者，可书写多次就诊的健康档案功能。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6.11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支持自定义要展示在流程中的节点，及各节点在流程中的顺序。</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康复医生工作站</w:t>
            </w: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支持以患者为中心进行康复业务功能，满足康复医嘱接收、康复医嘱处理、康复医嘱拆分执行的业务要求。</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具备康复医嘱回传的业务模式，提供五种治疗医嘱推荐方式。</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具备调整医嘱执行治疗区功能，支持指定治疗区/治疗师，提高治疗分配精度。</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具备HIS医嘱识别功能，支持两种（1：n；n：1）模式自动生成治疗方案。</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自动获取HIS医嘱后，支持再编辑，并可一键生成治疗方案。</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具备建议医嘱下达指定建议治疗区、建议治疗师、建议治疗设备等信息功能；由患者责任治疗师或责任评估师发送建议医嘱后，发送同步到HIS下达治疗医嘱。</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7.7</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具备预出院功能，并支持按预设的时间自动收费和停嘱。</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7.8</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具备分角色展示本人、本科室和会诊患者及以患者为中心进行康复业务功能。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7.9</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提供不少于五种治疗医嘱推荐方式：支持引用预设方案、历史方案、推荐方案、建议方案、诊疗方案；可根据患者病种，推荐预设病种方案进行引用添加。</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7.10</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对康复医保医嘱进行医保限额、医保时间范围设置；具备治疗医嘱产生时自动关联患者现有的医保信息，保证治疗医保控制。</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7.11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具备治疗医嘱关联收费清单功能，提高治疗执行费用精确度。</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7.12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具备治疗医嘱任务合并功能。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7.13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具备治疗方式可编辑功能，指引治疗师合理操作。</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7.14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具备设置治疗执行操作指导功能，辅助治疗执行提高治疗精准度。</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康复评估工作站</w:t>
            </w: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支持评估所需要的基础功能，满足创建评估方案-&gt;调整评估量表-&gt;执行评估-&gt;书写评估报告-&gt;完成评估-&gt;评估查看-&gt;评估对比的业务要求。</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具备对接HIS，根据HIS评估医嘱自动创建评估方案功能，支持评估方案再编辑。</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具有查询条件记忆功能，在查询评估方案时提供8种查询方式。</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手动上传评估量表相关多媒体附件功能、评估设备结果文件上传功能。可用于后期针对视频、音频、图片进行评估前后对比；支持本次就诊、历次就诊评估数据结果进行对比分析(包含量表/报告数值、量表视频对比)。</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支持评估量表和评估报告的4种签名方式（PC端CA签名、移动CA签名、手写板签名、移动端画布签名），并可生成PDF文件及打印；评估量表支持多人评估及多人CA签字。</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ascii="宋体" w:hAnsi="宋体" w:cs="宋体"/>
                <w:color w:val="000000"/>
                <w:highlight w:val="none"/>
              </w:rPr>
              <w:t xml:space="preserve">▲</w:t>
            </w:r>
            <w:r>
              <w:rPr>
                <w:rFonts w:hint="eastAsia" w:ascii="宋体" w:hAnsi="宋体" w:cs="宋体"/>
                <w:color w:val="000000"/>
                <w:highlight w:val="none"/>
                <w:lang w:bidi="ar"/>
              </w:rPr>
              <w:t xml:space="preserve">《脊髓损伤神经功能评估》满足【脊髓损伤神经学分类国际标准（ISNCSCI)】，支持键盘与触屏（平板）输入分数，自主选择向下复制值功能，根据感觉和运动评分实时在检查图上以不同颜色区分，可视化显示损伤水平。</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8.7</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脊髓损伤神经功能评估》满足【脊髓损伤神经学分类国际标准（ISNCSCI)】，一键统计运动、感觉评分，自动检测评定完整性，准确计算神经损伤平面和ASIA损伤分级；同时针对缺失部分评分，可支持辅助推测神经损伤平面和ASIA损伤分级。</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8.8</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具备评估方案书写评估指导功能、评估报告结果审核功能，评估量表结果可下载生成PDF文件功能，也可直接打印生成报告功能。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8.9</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同步对接HIS系统收费，提供评估方案绑定收费功能，可根据清单或医嘱同步收费。</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8.10</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提供评估量表和评估报告分别具有CA签名功能（UKey及移动端扫码签名），提供评估量表结果文件对接归档系统及电子病历系统。</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8.11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提供丰富的常用评估量表300张以上、成人评估量表、儿童评估量表，以及提供量表定制功能、评估量表执行结果重置重新执行功能，评估量表取消功能、评估量表结果审核功能；提供专业的康复文书结构化评估报告可书写、编辑、重新设计且报告模板可自定义定制。</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8.12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具备对接HIS系统同步评估医嘱功能；提供建议医嘱功能，评估师可根据患者情况发送建议医嘱，供医生引用；支持根据评估结果推荐治疗方案。</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8.13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系统支持ICF（国际功能、残疾、健康分类）评估与报告。</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康复治疗工作站</w:t>
            </w: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支持治疗所需要的基础功能，具备待治疗项目查询、治疗登记、治疗记录、收（补）退费等功能。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具备治疗记录权限管理功能，通过权限设置支持查看各治疗师任务执行情况、收费情况、工作量情况；具备退费权限管控功能，可设置精细化退费权限，支持通过设置实现仅限本人操作退费的功能。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支持治疗项目次数到期提醒、医嘱停止提醒、每日自动提示住院患者未执行项目。</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支持以治疗项目和医嘱两种方式进行治疗登记功能，且在以医嘱方式进行登记时支持根据需要写入治疗次数，简化治疗执行操作同时提升执行准确性。</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支持治疗时精准管理治疗时长，辅助输入治疗结果，可根据实际情况编辑费用清单。</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具备治疗执行收费功能，支持对接HIS同步收费；提供三种计费模式（按部/穴位收费、按治疗项目费用清单收费、按HIS医嘱费用清单收费）。</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9.7</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具备治疗执行时在治疗备注中填写治疗结论功能，利用填写治疗备注，形成治疗记录单功能。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9.8</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具备自动对账功能，支持系统与HIS自动进行对账。</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9.9</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支持查看治疗师治疗执行情况及收费情况功能，对于已执行的项目，可进行项目撤销执行及批量撤销功能；根据治疗师来统计治疗工作量；通过组合查询，查看各治疗师任务执行情况、收费情况、工作量情况。</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9.10</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治疗记录查询提供了医保剩余次数、执行剩余次数、次数到期提醒、患者余额、排班信息；待治疗记录提供叫号和批量执行功能，查询表格表头可自定义和排序，查询条件可根据操作习惯具有记忆功能。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9.11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治疗执行时支持医保控费验证，保障了治疗费用的准确性；治疗执行医嘱折叠和按频次展开显示，治疗师可以按个人需要自由切换；可精确记录开始--执行中--结束执行全流程过程。</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9.12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支持制定治疗执行计划，系统自动执行计划，完成治疗执行。</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9.13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具备治疗预收费功能，门诊患者在执行第一次治疗时，可预收本次就诊所有治疗费用。</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9.14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支持为患者设定标准费用，治疗执行实际费用低于或超过标准费用时，系统自动发送预警消息。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9.15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支持治疗医嘱连续多天（具体天数自行设置）未执行时，系统向建议治疗师发送消息提醒消息。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9.16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支持治疗中模式：开始治疗后，根据项目时长自动结束治疗，结束治疗时调用收费接口；治疗执行中可以标记区分医嘱是否是医保或者自费。</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10</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康复护士工作站</w:t>
            </w: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10.1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支持护士工作开展所需基础功能，满足医嘱核对、医嘱标记、患者管理的业务开展要求。</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10.2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支持两种医嘱审核机制：未审核医嘱可完成人工核对；已审核医嘱可自动跳过核对环节。</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10.3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具备患者风险管理功能，支持维护患者风险信息及维护核查信息。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10.4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支持查看科室康复患者及本人对应管理患者功能。</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11</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报表中心</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11.1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支持以报表的形式统计科室各类业务数据。</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11.2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系统内置一套满足科室基础使用的各业务环节分析的统计报表（10个种类）。</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11.3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具备业务数据整合功能，支持对绩效管理、经营管理、资源管理、医疗质量等4个方面进行组合统一展示。</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11.4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支持统计科室的所有项目，设备使用率、治疗人次、治疗费用、工作量统计、量表统计、绩效统计，患者治疗情况统计功能，报表可集中展示。</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11.5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支持依据管理的需要可形成日报、周报、月报等功能且可打印和查询报表。</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12</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家庭训练管理</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12.1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支持快速创建家庭训练方案模板，模板可设置数据共享范围（通用，科室，个人）。</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12.2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支持将给患者开具的训练方案另存为预设模板功能。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12.3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具备通过预设模板快速制定训练方案，支持自由调整搭配新增项目完成方案创建。</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12.4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支持制定患者家庭训练方案功能。</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13</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随访管理</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13.1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支持制定患者随访计划功能，可定时提醒随访内容和注意事项。</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13.2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支持随访计划绑定患者已有的家庭训练方案。</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13.3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支持随访记录查看，并可回顾历史随访情况功能。</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14</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建议医嘱</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14.1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支持向医生提供治疗建议的功能，具备治疗建议新增、维护、发送、撤销等功能。</w:t>
            </w:r>
            <w:r>
              <w:rPr>
                <w:rFonts w:ascii="宋体" w:hAnsi="宋体" w:cs="宋体"/>
                <w:color w:val="000000"/>
                <w:highlight w:val="none"/>
                <w:lang w:bidi="ar"/>
              </w:rPr>
            </w:r>
            <w:r/>
          </w:p>
        </w:tc>
      </w:tr>
      <w:tr>
        <w:trPr>
          <w:trHeight w:val="90"/>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14.2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具备治疗建议指向性维护功能，支持维护建议治疗区、建议治疗师、建议治疗设备。</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智能排程管理</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支持对患者进行治疗安排，结合医院资源情况，提供排班、排队等方式进行患者日程安排。</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具备多种排班方式：以患者为主的排班方式、以项目为主、以课程为主的排班方式。</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具备多种组合模式进行治疗安排，提供多级任务分配+精细化排班、患者分配+患者排队、排队等组合方式供医院选择；并且这些模式可单独使用，也可并存使用。</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具备任务分配功能；支持需要同时执行的治疗项目可合并打包排班；支持对未安排的项目可重新指定治疗区、治疗师。</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具备精细化排班模式功能，系统可根据患者、治疗项目、项目频次、治疗时长、项目开展区域、科室资源（治疗师、设备）等7个要素进行计算匹配对应排班表（治疗师排班表、设备排班表）。</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支持查询待排班列表功能模块，提供完整及丰富的查询条件，可根据医嘱查询，对开嘱日期、治疗区、治疗师、治疗项目、患者等进行条件查询；且对治疗区和治疗师提供权限控制和记忆功能。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15.7</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治疗排班具备精细化排班和点位排班功能模块，可以根据医院具体场景选择精细排班或点位排班，排班模式支持日排班模式和周排班模式，周排班模式完全可由用户自定义一周内的某天排班工作或非排班工作。</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15.8</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排班功能模块可自定义节假日，自由设置节假日和调休日，排班数据会根据设置数据自由跳过自动生成；并支持占位功能，占住点位防止其他人抢占，其中占位类型由用户自定义。</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15.9</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支持排班任务交接功能，治疗师可以将任务转交接至其他治疗师，可选择交接天数。</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15.10</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具备排队治疗执行功能，支持按医嘱模式和频次两种模式进行排队，排队时支持自动选择队列和手动选择队列，排队叫号支持多种过号规则；支持排队项目批量执行。</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15.11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为满足科室资源合理分配的原则，支持针对多个项目同时进行同一排班资源分配；支持设备排班时，多个治疗区可共用设备；具备查看治疗师在其他治疗区的任务安排情况。</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15.12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支持排班界面治疗执行功能，可批量执行，完成治疗后展示特殊标记，便于辨识；精细化排班支持调整排班项目时长，治疗师可以根据患者实际情况任意调整治疗时长。</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15.13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支持治疗排程信息导出为Excel格式文档；治疗排班表具备夏季、冬季作息时间切换；排班日期支持展示最近十五天治疗区排班情况。</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15.14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具备排班患者签到，可通过扫描患者二维码或输入就诊号签到，自动签到当前治疗区该患者的已排班项目。</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15.15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排班界面支持师生关联查询。</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15.16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具备智能排班模式，根据临床提供的排班规则，进行智能排班。如可根据治疗师工作量、患者优先级、历史治疗过、满意度、随机到治疗师空闲时段、设备空闲时段等规则进行智能排班。</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16</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康复文书</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16.1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支持电子病历书写功能，提供各类康复文书的编辑与存储功能。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16.2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具备康复数据电子病历结构化存储功能，支持文书内容结构化编辑与存储功能；具备专业电子病历功能，在进行文书书写时支持查看并引用患者历史文书内容。</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16.3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具备多种文书书写功能，支持轻量版与专业版两种电子文书撰写模式，并能实现数据无缝衔接；具备文书签名功能，提供多种文书签名方式：CA电脑端签名、CA扫码签名、移动APP手写签名。</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16.4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支持对康复电子文书进行时间质控管理功能。可对文书的填写内容进行时间节点调整。</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16.5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提供康复结构化文书的模板复用功能，减少模板的维护成本，同时提高了模板的复用率以及增加用户对自身常用文档的积累。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16.6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支持提供不同治疗文书模板，康复文书可以文档、PDF和图片的方式存储，提高康复文书归档的可靠性并增强康复文书查阅的便捷性；提高文书书写效率。支持电子文书审核流程功能。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16.7</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具备专业电子病历功能，在进行文书书写时支持查看并引用患者历史文书内容 。</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16.8</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支持在文书书写界面查看该患者的评估信息（包括量表报告），可快速引用康复目标、治疗医嘱，可在文书中插入图片。</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17</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康复看板</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17.1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支持患者一览卡功能，满足患者信息整合需要，可实时显示患者最新的各类康复医疗信息。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17.2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支持快速调取患者康复病历信息、HIS病历信息（需HIS接口支持），查看患者病历信息。</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17.3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支持在同一界面支持实时查询患者每日医嘱（评估、治疗、临床）执行状态，按天或周模式展示排班结果。</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17.4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具备交班留言功能，支持留言紧急发送，快速通知到治疗团队。</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18</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患者病历夹</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18.1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支持病历管理所需的基础功能，归档患者治疗全过程康复医疗信息（评估、文书）。</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18.2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支持同一界面集成患者本次就诊与历史就诊信息快速查看功能；支持与EMR或360视图对接（pdf和结构化数据），实现患者病历的集中归档、集中调阅功能。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18.3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支持以时间轴和病历类别两种模式的浏览方式。</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18.4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具备文件上传功能，可上传管理附加的康复医疗文件资料，用于集中归档。</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18.5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具备数据结构化存储功能，支持与全院电子病历系统对接。</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19</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病历检索</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19.1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支持患者病历信息检索，满足从多维度提取患者病历信息的需要。</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19.2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支持提供病历、文书、量表和报告类型的全文检索功能。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19.3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支持提供简单搜索功能，可根据患者姓名等关键字检索，并具备高级检索功能，根据关键字、时间段、年龄段、科室、身份证号、来源、性别等条件检索。</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19.4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支持添加不同患者或相同患者的相同类型量表进行对比查看功能。</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20</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科室管理质控</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20.1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ascii="宋体" w:hAnsi="宋体" w:cs="宋体"/>
                <w:color w:val="000000"/>
                <w:highlight w:val="none"/>
              </w:rPr>
              <w:t xml:space="preserve">▲</w:t>
            </w:r>
            <w:r>
              <w:rPr>
                <w:rFonts w:hint="eastAsia" w:ascii="宋体" w:hAnsi="宋体" w:cs="宋体"/>
                <w:color w:val="000000"/>
                <w:highlight w:val="none"/>
                <w:lang w:bidi="ar"/>
              </w:rPr>
              <w:t xml:space="preserve">支持环节质控，质控点自定义编辑，可设置以下内容：是否入院评估，是否开具建议医嘱，是否召开康复评价会，是否书写康复文书，是否安排责任治疗师，是否排班，是否完成治疗，是否完成计费功能。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20.2</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支持时间质控，任务质控时间自定义编辑，可根据管理要求进行超时提醒。</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20.3</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支持在一个界面呈现所有质控内容，以责任人维度进行统计，统计责任人的超时任务数量，可通过点超时未完成数值，查看未完成任务详情；同时具备质控分析的功能，以图形化展示。</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20.4</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支持用户质控任务超时提醒，任务超过规定时间会有图标提醒。</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20.5</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支持质控管理任务在任务中心直接操作，点击完成会引导到具备质控任务对应的模块进行处理；支持质控任务排序功能。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20.6</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支持统计质控数据统计，可统计以下内容：个人超时任务清单明细，个人超时任务统计，治疗组超时任务清单明细，治疗组超时任务统计功能。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20.7</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以时间轴的形式实时展示所有任务的相关动态，包括所有任务的动态、审核的动态。</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20.8</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支持以责任人维度进行统计，统计责任人的超时任务数量，可通过点超时未完成数值，查看未完成任务详情。</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21</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康复团队会议</w:t>
            </w:r>
            <w:r>
              <w:rPr>
                <w:rFonts w:ascii="宋体" w:hAnsi="宋体" w:cs="宋体"/>
                <w:color w:val="000000"/>
                <w:sz w:val="22"/>
                <w:szCs w:val="22"/>
                <w:highlight w:val="none"/>
                <w:lang w:bidi="ar"/>
              </w:rPr>
            </w:r>
            <w:r/>
          </w:p>
        </w:tc>
        <w:tc>
          <w:tcPr>
            <w:tcW w:w="877" w:type="dxa"/>
            <w:vAlign w:val="center"/>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21.1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支持康复评价会功能，提供会议制定、参会通知、会议开展、会议记录、会议报告等功能。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21.2</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支持制定单人或多人团队会议，且可指定参会人员；具备跨科协同功能，支持制定会议可跨科室选择参会人；支持参会人员在线确认是否参会功能。</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21.3</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具备自动创建会话群组功能，完成会议制定时可自动创建对应患者会话群组。</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21.4</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具备会议报告完成提醒功能，支持所有参会人员填写完会议内容后，系统自动给会议发起人发送消息提醒。</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21.5</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按照团队会议的建议模板，按照模板的顺序进行排序（优先），可提取顺序、可维护，最终在页面上实现。</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21.6</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支持参会人员书写会议建议报告，报告模板可自选定制，报告内容结构化存储，可对接CA签名，同时保存了PDF及图片格式的报告文件，可对接归档系统及电子病历系统上传报告文件及结构化数据。</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21.7</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会议创建人员可书写会议总结报告，报告模板可自选定制，可提取参会人员建议报告到汇总报告中，报告内容结构化存储，可对接CA签名，同时保存了PDF及图片格式的报告文件，可对接归档系统及电子病历系统上传报告文件及结构化数据。</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21.8</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支持审批流程可配置化，对会议报告进行审批审核功能。</w:t>
            </w:r>
            <w:r>
              <w:rPr>
                <w:rFonts w:ascii="宋体" w:hAnsi="宋体" w:cs="宋体"/>
                <w:color w:val="000000"/>
                <w:highlight w:val="none"/>
                <w:lang w:bidi="ar"/>
              </w:rPr>
            </w:r>
            <w:r/>
          </w:p>
        </w:tc>
      </w:tr>
      <w:tr>
        <w:trPr/>
        <w:tc>
          <w:tcPr>
            <w:shd w:val="clear" w:color="auto" w:fill="ffffff"/>
            <w:tcW w:w="851" w:type="dxa"/>
            <w:vAlign w:val="center"/>
            <w:vMerge w:val="restart"/>
            <w:textDirection w:val="lrTb"/>
            <w:noWrap w:val="false"/>
          </w:tcPr>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22</w:t>
            </w:r>
            <w:r>
              <w:rPr>
                <w:rFonts w:ascii="宋体" w:hAnsi="宋体" w:cs="宋体"/>
                <w:color w:val="000000"/>
                <w:highlight w:val="none"/>
                <w:lang w:bidi="ar"/>
              </w:rPr>
            </w:r>
            <w:r/>
          </w:p>
        </w:tc>
        <w:tc>
          <w:tcPr>
            <w:shd w:val="clear" w:color="auto" w:fill="ffffff"/>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医务排班管理</w:t>
            </w: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22.1</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支持医生、护士、评估师、治疗师等各类角色工时安排。</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22.2</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支持按月、年区分查询。</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22.3</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界面新增上班人数统计（半天算0.5，全天算1）。</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22.4</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支持排班人员自定义展示顺序（不上班的人员可以自定义隐藏）。支持排班人员上班方式按上午、全天、下午的顺序显示。</w:t>
            </w:r>
            <w:r>
              <w:rPr>
                <w:rFonts w:ascii="宋体" w:hAnsi="宋体" w:cs="宋体"/>
                <w:color w:val="000000"/>
                <w:highlight w:val="none"/>
                <w:lang w:bidi="ar"/>
              </w:rPr>
            </w:r>
            <w:r/>
          </w:p>
        </w:tc>
      </w:tr>
      <w:tr>
        <w:trPr/>
        <w:tc>
          <w:tcPr>
            <w:shd w:val="clear" w:color="auto" w:fill="ffffff"/>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shd w:val="clear" w:color="auto" w:fill="ffffff"/>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22.5</w:t>
            </w:r>
            <w:r>
              <w:rPr>
                <w:rFonts w:ascii="宋体" w:hAnsi="宋体" w:cs="宋体"/>
                <w:color w:val="000000"/>
                <w:sz w:val="22"/>
                <w:szCs w:val="22"/>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治疗师排班支持一键继承上一周排班。</w:t>
            </w:r>
            <w:r>
              <w:rPr>
                <w:rFonts w:ascii="宋体" w:hAnsi="宋体" w:cs="宋体"/>
                <w:color w:val="000000"/>
                <w:highlight w:val="none"/>
                <w:lang w:bidi="ar"/>
              </w:rPr>
            </w:r>
            <w:r/>
          </w:p>
        </w:tc>
      </w:tr>
      <w:tr>
        <w:trPr/>
        <w:tc>
          <w:tcPr>
            <w:tcW w:w="851" w:type="dxa"/>
            <w:vAlign w:val="center"/>
            <w:vMerge w:val="restart"/>
            <w:textDirection w:val="lrTb"/>
            <w:noWrap w:val="false"/>
          </w:tcPr>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23</w:t>
            </w:r>
            <w:r>
              <w:rPr>
                <w:rFonts w:ascii="宋体" w:hAnsi="宋体" w:cs="宋体"/>
                <w:color w:val="000000"/>
                <w:sz w:val="21"/>
                <w:szCs w:val="21"/>
                <w:highlight w:val="none"/>
                <w:lang w:bidi="ar"/>
              </w:rPr>
            </w:r>
            <w:r/>
          </w:p>
        </w:tc>
        <w:tc>
          <w:tcPr>
            <w:tcW w:w="1196" w:type="dxa"/>
            <w:vAlign w:val="center"/>
            <w:vMerge w:val="restart"/>
            <w:textDirection w:val="lrTb"/>
            <w:noWrap w:val="false"/>
          </w:tcPr>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p>
            <w:pPr>
              <w:pStyle w:val="1000"/>
              <w:jc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eastAsia="en-US"/>
              </w:rPr>
              <w:t xml:space="preserve">患者微服务</w:t>
            </w:r>
            <w:r>
              <w:rPr>
                <w:rFonts w:ascii="宋体" w:hAnsi="宋体" w:cs="宋体"/>
                <w:color w:val="000000"/>
                <w:sz w:val="21"/>
                <w:szCs w:val="21"/>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23.1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支持患者自主预约治疗项目功能。</w:t>
            </w:r>
            <w:r>
              <w:rPr>
                <w:rFonts w:ascii="宋体" w:hAnsi="宋体" w:cs="宋体"/>
                <w:color w:val="000000"/>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23.2</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具备取消治疗预约功能，实现患者自主取消治疗项目功能。</w:t>
            </w:r>
            <w:r>
              <w:rPr>
                <w:rFonts w:ascii="宋体" w:hAnsi="宋体" w:cs="宋体"/>
                <w:color w:val="000000"/>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23.3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ascii="宋体" w:hAnsi="宋体" w:cs="宋体"/>
                <w:color w:val="000000"/>
                <w:highlight w:val="none"/>
              </w:rPr>
              <w:t xml:space="preserve">▲</w:t>
            </w:r>
            <w:r>
              <w:rPr>
                <w:rFonts w:hint="eastAsia" w:ascii="宋体" w:hAnsi="宋体" w:cs="宋体"/>
                <w:color w:val="000000"/>
                <w:highlight w:val="none"/>
                <w:lang w:bidi="ar"/>
              </w:rPr>
              <w:t xml:space="preserve">具备治疗预约功能，实现患者按不同时段进行治疗项目预约功能。</w:t>
            </w:r>
            <w:r>
              <w:rPr>
                <w:rFonts w:ascii="宋体" w:hAnsi="宋体" w:cs="宋体"/>
                <w:color w:val="000000"/>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23.4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具备治疗预约功能，实现患者进行已预约项目查询功能。</w:t>
            </w:r>
            <w:r>
              <w:rPr>
                <w:rFonts w:ascii="宋体" w:hAnsi="宋体" w:cs="宋体"/>
                <w:color w:val="000000"/>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23.5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ascii="宋体" w:hAnsi="宋体" w:cs="宋体"/>
                <w:color w:val="000000"/>
                <w:highlight w:val="none"/>
              </w:rPr>
              <w:t xml:space="preserve">▲</w:t>
            </w:r>
            <w:r>
              <w:rPr>
                <w:rFonts w:hint="eastAsia" w:ascii="宋体" w:hAnsi="宋体" w:cs="宋体"/>
                <w:color w:val="000000"/>
                <w:highlight w:val="none"/>
                <w:lang w:bidi="ar"/>
              </w:rPr>
              <w:t xml:space="preserve">具备患者院外排程查询功能，实现患者院外自助查询医院内(门诊)项目的治疗排班排程情况。</w:t>
            </w:r>
            <w:r>
              <w:rPr>
                <w:rFonts w:ascii="宋体" w:hAnsi="宋体" w:cs="宋体"/>
                <w:color w:val="000000"/>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23.6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hint="eastAsia" w:ascii="宋体" w:hAnsi="宋体" w:cs="宋体"/>
                <w:color w:val="000000"/>
                <w:highlight w:val="none"/>
                <w:lang w:bidi="ar"/>
              </w:rPr>
              <w:t xml:space="preserve">支持患者治疗完成后，患者可在患者微服务中进行签字确认治疗信息。</w:t>
            </w:r>
            <w:r>
              <w:rPr>
                <w:rFonts w:ascii="宋体" w:hAnsi="宋体" w:cs="宋体"/>
                <w:color w:val="000000"/>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23.7</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highlight w:val="none"/>
                <w:lang w:bidi="ar"/>
              </w:rPr>
            </w:pPr>
            <w:r>
              <w:rPr>
                <w:rFonts w:ascii="宋体" w:hAnsi="宋体" w:cs="宋体"/>
                <w:color w:val="000000"/>
                <w:highlight w:val="none"/>
              </w:rPr>
              <w:t xml:space="preserve">▲</w:t>
            </w:r>
            <w:r>
              <w:rPr>
                <w:rFonts w:hint="eastAsia" w:ascii="宋体" w:hAnsi="宋体" w:cs="宋体"/>
                <w:color w:val="000000"/>
                <w:highlight w:val="none"/>
                <w:lang w:bidi="ar"/>
              </w:rPr>
              <w:t xml:space="preserve">在患者微服务中实现院外患者家人管理功能：支持切换就诊人，支持添加家人，选择家人关系、添加家人姓名、身份证、认证方式等基本信息。</w:t>
            </w:r>
            <w:r>
              <w:rPr>
                <w:rFonts w:ascii="宋体" w:hAnsi="宋体" w:cs="宋体"/>
                <w:color w:val="000000"/>
                <w:highlight w:val="none"/>
                <w:lang w:bidi="ar"/>
              </w:rPr>
            </w:r>
            <w:r/>
          </w:p>
        </w:tc>
      </w:tr>
      <w:tr>
        <w:trPr/>
        <w:tc>
          <w:tcPr>
            <w:tcW w:w="851" w:type="dxa"/>
            <w:vAlign w:val="center"/>
            <w:vMerge w:val="restart"/>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ascii="宋体" w:hAnsi="宋体" w:cs="宋体"/>
                <w:color w:val="000000"/>
                <w:highlight w:val="none"/>
                <w:lang w:bidi="ar"/>
              </w:rPr>
            </w:r>
            <w:r/>
          </w:p>
          <w:p>
            <w:pPr>
              <w:pStyle w:val="1000"/>
              <w:jc w:val="center"/>
              <w:rPr>
                <w:rFonts w:ascii="宋体" w:hAnsi="宋体" w:cs="宋体"/>
                <w:color w:val="000000"/>
                <w:highlight w:val="none"/>
                <w:lang w:bidi="ar"/>
              </w:rPr>
            </w:pPr>
            <w:r>
              <w:rPr>
                <w:rFonts w:hint="eastAsia" w:ascii="宋体" w:hAnsi="宋体" w:cs="宋体"/>
                <w:color w:val="000000"/>
                <w:highlight w:val="none"/>
                <w:lang w:bidi="ar"/>
              </w:rPr>
              <w:t xml:space="preserve">24</w:t>
            </w:r>
            <w:r>
              <w:rPr>
                <w:rFonts w:ascii="宋体" w:hAnsi="宋体" w:cs="宋体"/>
                <w:color w:val="000000"/>
                <w:highlight w:val="none"/>
                <w:lang w:bidi="ar"/>
              </w:rPr>
            </w:r>
            <w:r/>
          </w:p>
        </w:tc>
        <w:tc>
          <w:tcPr>
            <w:tcW w:w="1196" w:type="dxa"/>
            <w:vAlign w:val="center"/>
            <w:vMerge w:val="restart"/>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p>
            <w:pPr>
              <w:pStyle w:val="871"/>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无纸化评估治疗记录系统</w:t>
            </w: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24.1</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sz w:val="21"/>
                <w:szCs w:val="21"/>
                <w:highlight w:val="none"/>
                <w:lang w:bidi="ar"/>
              </w:rPr>
            </w:pPr>
            <w:r>
              <w:rPr>
                <w:rFonts w:ascii="宋体" w:hAnsi="宋体" w:cs="宋体"/>
                <w:color w:val="000000"/>
                <w:highlight w:val="none"/>
              </w:rPr>
              <w:t xml:space="preserve">▲</w:t>
            </w:r>
            <w:r>
              <w:rPr>
                <w:rFonts w:hint="eastAsia" w:ascii="宋体" w:hAnsi="宋体" w:cs="宋体"/>
                <w:color w:val="000000"/>
                <w:sz w:val="21"/>
                <w:szCs w:val="21"/>
                <w:highlight w:val="none"/>
                <w:lang w:bidi="ar"/>
              </w:rPr>
              <w:t xml:space="preserve">支持肩关节康复评估记录，并基于评估结果进行计算机辅助诊断运算，在肱二头肌长头肌腱炎、SLAP损伤、冈上肌损伤、三角肌下滑囊炎、肩关节不稳定、冻结肩、肩峰撞击多种临床诊断进行鉴别与计算。并依据最后选择诊断推荐治疗方案与具体的治疗项目。</w:t>
            </w:r>
            <w:r>
              <w:rPr>
                <w:rFonts w:ascii="宋体" w:hAnsi="宋体" w:cs="宋体"/>
                <w:color w:val="000000"/>
                <w:sz w:val="21"/>
                <w:szCs w:val="21"/>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24.2</w:t>
            </w:r>
            <w:r>
              <w:rPr>
                <w:rFonts w:ascii="宋体" w:hAnsi="宋体" w:cs="宋体"/>
                <w:color w:val="000000"/>
                <w:highlight w:val="none"/>
                <w:lang w:bidi="ar"/>
              </w:rPr>
            </w:r>
            <w:r/>
          </w:p>
        </w:tc>
        <w:tc>
          <w:tcPr>
            <w:tcW w:w="6585" w:type="dxa"/>
            <w:vAlign w:val="center"/>
            <w:textDirection w:val="lrTb"/>
            <w:noWrap w:val="false"/>
          </w:tcPr>
          <w:p>
            <w:pPr>
              <w:pStyle w:val="871"/>
              <w:rPr>
                <w:rFonts w:ascii="宋体" w:hAnsi="宋体" w:cs="宋体"/>
                <w:color w:val="000000"/>
                <w:highlight w:val="none"/>
                <w:lang w:bidi="ar"/>
              </w:rPr>
            </w:pPr>
            <w:r>
              <w:rPr>
                <w:rFonts w:hint="eastAsia"/>
                <w:color w:val="000000"/>
                <w:highlight w:val="none"/>
              </w:rPr>
              <w:t xml:space="preserve">总览</w:t>
            </w:r>
            <w:r>
              <w:rPr>
                <w:color w:val="000000"/>
                <w:highlight w:val="none"/>
              </w:rPr>
              <w:t xml:space="preserve">病种评估表</w:t>
            </w:r>
            <w:r>
              <w:rPr>
                <w:rFonts w:hint="eastAsia"/>
                <w:color w:val="000000"/>
                <w:highlight w:val="none"/>
              </w:rPr>
              <w:t xml:space="preserve">：</w:t>
            </w:r>
            <w:r>
              <w:rPr>
                <w:color w:val="000000"/>
                <w:highlight w:val="none"/>
              </w:rPr>
              <w:t xml:space="preserve">包括</w:t>
            </w:r>
            <w:r>
              <w:rPr>
                <w:rFonts w:hint="eastAsia"/>
                <w:color w:val="000000"/>
                <w:highlight w:val="none"/>
              </w:rPr>
              <w:t xml:space="preserve">慢性肌骨4张（颈椎、肩关节、腰椎关节、下肢）、骨科术后5张、</w:t>
            </w:r>
            <w:r>
              <w:rPr>
                <w:color w:val="000000"/>
                <w:highlight w:val="none"/>
              </w:rPr>
              <w:t xml:space="preserve">卒中</w:t>
            </w:r>
            <w:r>
              <w:rPr>
                <w:rFonts w:hint="eastAsia"/>
                <w:color w:val="000000"/>
                <w:highlight w:val="none"/>
              </w:rPr>
              <w:t xml:space="preserve">1张。</w:t>
            </w:r>
            <w:r>
              <w:rPr>
                <w:rFonts w:ascii="宋体" w:hAnsi="宋体" w:cs="宋体"/>
                <w:color w:val="000000"/>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24.3</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sz w:val="21"/>
                <w:szCs w:val="21"/>
                <w:highlight w:val="none"/>
                <w:lang w:bidi="ar"/>
              </w:rPr>
            </w:pPr>
            <w:r>
              <w:rPr>
                <w:rFonts w:ascii="宋体" w:hAnsi="宋体" w:cs="宋体"/>
                <w:color w:val="000000"/>
                <w:highlight w:val="none"/>
              </w:rPr>
              <w:t xml:space="preserve">▲</w:t>
            </w:r>
            <w:r>
              <w:rPr>
                <w:rFonts w:hint="eastAsia" w:ascii="宋体" w:hAnsi="宋体" w:cs="宋体"/>
                <w:color w:val="000000"/>
                <w:sz w:val="21"/>
                <w:szCs w:val="21"/>
                <w:highlight w:val="none"/>
                <w:lang w:bidi="ar"/>
              </w:rPr>
              <w:t xml:space="preserve">支持颈椎、头面康复评估记录，并基于评估结果进行计算机辅助诊断运算，在偏头痛、从集性头痛、张力性头痛(胸锁乳突肌、夹肌)、神经根型颈椎病、胸廓出口综合征(斜角肌、胸小肌、锁骨下)、椎体活动度过小、上交叉、上斜方肌综合征多种临床问题进行鉴别与计算，并依据最后选择诊断推荐相应治疗方案与具体的治疗项目。</w:t>
            </w:r>
            <w:r>
              <w:rPr>
                <w:rFonts w:ascii="宋体" w:hAnsi="宋体" w:cs="宋体"/>
                <w:color w:val="000000"/>
                <w:sz w:val="21"/>
                <w:szCs w:val="21"/>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24.4</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支持踝关节术后康复路径评估记录，并基于评估记录对跟腱修复术、外侧副韧带修复术、足底筋膜断裂修复术、踝关节镜多种踝足术后康复阶段进行判定与计算，并按照所属阶段推荐相关治疗方案。</w:t>
            </w:r>
            <w:r>
              <w:rPr>
                <w:rFonts w:ascii="宋体" w:hAnsi="宋体" w:cs="宋体"/>
                <w:color w:val="000000"/>
                <w:sz w:val="21"/>
                <w:szCs w:val="21"/>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24.5</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支持卒中康复治疗评估记录，并基于评估记录在前动脉综合征、后动脉综合征周围型、后动脉综合征中央型、中动脉综合征多种卒中诊断分型上进行计算与判别，并能对多种卒中常见功能障碍进行计算与判断，选择诊断结果后会基于诊断推荐相关治疗方案与项目。</w:t>
            </w:r>
            <w:r>
              <w:rPr>
                <w:rFonts w:ascii="宋体" w:hAnsi="宋体" w:cs="宋体"/>
                <w:color w:val="000000"/>
                <w:sz w:val="21"/>
                <w:szCs w:val="21"/>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24.6</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sz w:val="21"/>
                <w:szCs w:val="21"/>
                <w:highlight w:val="none"/>
                <w:lang w:bidi="ar"/>
              </w:rPr>
            </w:pPr>
            <w:r>
              <w:rPr>
                <w:rFonts w:ascii="宋体" w:hAnsi="宋体" w:cs="宋体"/>
                <w:color w:val="000000"/>
                <w:highlight w:val="none"/>
              </w:rPr>
              <w:t xml:space="preserve">▲</w:t>
            </w:r>
            <w:r>
              <w:rPr>
                <w:rFonts w:hint="eastAsia" w:ascii="宋体" w:hAnsi="宋体" w:cs="宋体"/>
                <w:color w:val="000000"/>
                <w:sz w:val="21"/>
                <w:szCs w:val="21"/>
                <w:highlight w:val="none"/>
                <w:lang w:bidi="ar"/>
              </w:rPr>
              <w:t xml:space="preserve">支持扫码查看RCDSS治疗指导内容(包含：文字，图片，视频)。</w:t>
            </w:r>
            <w:r>
              <w:rPr>
                <w:rFonts w:ascii="宋体" w:hAnsi="宋体" w:cs="宋体"/>
                <w:color w:val="000000"/>
                <w:sz w:val="21"/>
                <w:szCs w:val="21"/>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24.7</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sz w:val="21"/>
                <w:szCs w:val="21"/>
                <w:highlight w:val="none"/>
                <w:lang w:bidi="ar"/>
              </w:rPr>
            </w:pPr>
            <w:r>
              <w:rPr>
                <w:rFonts w:ascii="宋体" w:hAnsi="宋体" w:cs="宋体"/>
                <w:color w:val="000000"/>
                <w:highlight w:val="none"/>
              </w:rPr>
              <w:t xml:space="preserve">▲</w:t>
            </w:r>
            <w:r>
              <w:rPr>
                <w:rFonts w:hint="eastAsia" w:ascii="宋体" w:hAnsi="宋体" w:cs="宋体"/>
                <w:color w:val="000000"/>
                <w:sz w:val="21"/>
                <w:szCs w:val="21"/>
                <w:highlight w:val="none"/>
                <w:lang w:bidi="ar"/>
              </w:rPr>
              <w:t xml:space="preserve">涵盖颈椎、肩关节、腰椎、髋关节、膝关节、踝关节多种慢性肌骨问题的康复治疗方案推荐，包括且不限于SLAP损伤、冈上肌损伤、三角肌下滑囊炎、肩关节不稳定、冻结肩、肩峰撞击、张力性头痛(胸锁乳突肌、夹肌)、神经根型颈椎病、胸廓出口综合征(斜角肌、胸小肌、锁骨下)、椎体活动度过小、上交叉、上斜方肌综合征、椎间盘突出、椎间孔狭窄、梨状肌综合征、小面关节紊乱、腰椎不稳定、骼腰肌功能异常、竖臀大肌功能异常。</w:t>
            </w:r>
            <w:r>
              <w:rPr>
                <w:rFonts w:ascii="宋体" w:hAnsi="宋体" w:cs="宋体"/>
                <w:color w:val="000000"/>
                <w:sz w:val="21"/>
                <w:szCs w:val="21"/>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24.8</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涵盖多种术后康复路径各阶段治疗方案推荐，包括且不限于肩袖不同程度损伤修补、肩关节不稳定关节镜或开放式术后、肩关节置换、SLAP修补术、全髋关节置换(后外侧入路、前侧入路)、关节镜下髋关节盂唇修补、髋关节表面置换术。</w:t>
            </w:r>
            <w:r>
              <w:rPr>
                <w:rFonts w:ascii="宋体" w:hAnsi="宋体" w:cs="宋体"/>
                <w:color w:val="000000"/>
                <w:sz w:val="21"/>
                <w:szCs w:val="21"/>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24.9</w:t>
            </w:r>
            <w:r>
              <w:rPr>
                <w:rFonts w:ascii="宋体" w:hAnsi="宋体" w:cs="宋体"/>
                <w:color w:val="000000"/>
                <w:highlight w:val="none"/>
                <w:lang w:bidi="ar"/>
              </w:rPr>
            </w:r>
            <w:r/>
          </w:p>
        </w:tc>
        <w:tc>
          <w:tcPr>
            <w:tcW w:w="6585" w:type="dxa"/>
            <w:vAlign w:val="center"/>
            <w:textDirection w:val="lrTb"/>
            <w:noWrap w:val="false"/>
          </w:tcPr>
          <w:p>
            <w:pPr>
              <w:pStyle w:val="1000"/>
              <w:rPr>
                <w:rFonts w:ascii="宋体" w:hAnsi="宋体" w:cs="宋体"/>
                <w:color w:val="000000"/>
                <w:sz w:val="21"/>
                <w:szCs w:val="21"/>
                <w:highlight w:val="none"/>
                <w:lang w:bidi="ar"/>
              </w:rPr>
            </w:pPr>
            <w:r>
              <w:rPr>
                <w:rFonts w:ascii="宋体" w:hAnsi="宋体" w:cs="宋体"/>
                <w:color w:val="000000"/>
                <w:highlight w:val="none"/>
              </w:rPr>
              <w:t xml:space="preserve">▲</w:t>
            </w:r>
            <w:r>
              <w:rPr>
                <w:rFonts w:hint="eastAsia" w:ascii="宋体" w:hAnsi="宋体" w:cs="宋体"/>
                <w:color w:val="000000"/>
                <w:sz w:val="21"/>
                <w:szCs w:val="21"/>
                <w:highlight w:val="none"/>
                <w:lang w:bidi="ar"/>
              </w:rPr>
              <w:t xml:space="preserve">包括多种颈椎各类治疗项目说明(图片、文字、视频),内容涵盖颈椎关节松动术、颈椎关节稳定性训练、颈椎力量训练、颈椎肌肉能量技术、颈椎肌内效贴、颈椎牵伸常见治疗手段。</w:t>
            </w:r>
            <w:r>
              <w:rPr>
                <w:rFonts w:ascii="宋体" w:hAnsi="宋体" w:cs="宋体"/>
                <w:color w:val="000000"/>
                <w:sz w:val="21"/>
                <w:szCs w:val="21"/>
                <w:highlight w:val="none"/>
                <w:lang w:bidi="ar"/>
              </w:rPr>
            </w:r>
            <w:r/>
          </w:p>
          <w:p>
            <w:pPr>
              <w:pStyle w:val="1000"/>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并支持多种腰椎各类治疗项目说明(图片、文字、视频),内容涵盖腰椎关节松动术、腰椎稳定性训练、腰椎力量训练、腰椎肌肉能量技术、腰椎肌内效贴、腰椎牵伸常见治疗手段。</w:t>
            </w:r>
            <w:r>
              <w:rPr>
                <w:rFonts w:ascii="宋体" w:hAnsi="宋体" w:cs="宋体"/>
                <w:color w:val="000000"/>
                <w:sz w:val="21"/>
                <w:szCs w:val="21"/>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val="en-US" w:eastAsia="zh-CN" w:bidi="ar"/>
              </w:rPr>
              <w:t xml:space="preserve">24.10</w:t>
            </w:r>
            <w:r>
              <w:rPr>
                <w:rFonts w:ascii="宋体" w:hAnsi="宋体" w:cs="宋体"/>
                <w:color w:val="000000"/>
                <w:highlight w:val="none"/>
                <w:lang w:bidi="ar"/>
              </w:rPr>
            </w:r>
            <w:r/>
          </w:p>
        </w:tc>
        <w:tc>
          <w:tcPr>
            <w:tcW w:w="6585" w:type="dxa"/>
            <w:vAlign w:val="center"/>
            <w:textDirection w:val="lrTb"/>
            <w:noWrap w:val="false"/>
          </w:tcPr>
          <w:p>
            <w:pPr>
              <w:pStyle w:val="871"/>
              <w:rPr>
                <w:rFonts w:ascii="宋体" w:hAnsi="宋体" w:cs="宋体"/>
                <w:color w:val="000000"/>
                <w:highlight w:val="none"/>
                <w:lang w:bidi="ar"/>
              </w:rPr>
            </w:pPr>
            <w:r>
              <w:rPr>
                <w:rFonts w:hint="eastAsia" w:ascii="宋体" w:hAnsi="宋体" w:cs="宋体"/>
                <w:sz w:val="21"/>
                <w:szCs w:val="21"/>
                <w:lang w:bidi="ar"/>
              </w:rPr>
              <w:t xml:space="preserve">支持多种腰椎各类治疗项目说明(图片、文字、视频),内容涵盖腰椎关节松动术、腰椎稳定性训练、腰椎力量训练、腰椎肌肉能量技术、腰椎肌内效贴、腰椎牵伸常见治疗手段。</w:t>
            </w:r>
            <w:r>
              <w:rPr>
                <w:rFonts w:ascii="宋体" w:hAnsi="宋体" w:cs="宋体"/>
                <w:color w:val="000000"/>
                <w:highlight w:val="none"/>
                <w:lang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hint="eastAsia" w:ascii="宋体" w:hAnsi="宋体" w:cs="宋体"/>
                <w:color w:val="000000"/>
                <w:sz w:val="21"/>
                <w:szCs w:val="21"/>
                <w:highlight w:val="none"/>
                <w:lang w:val="en-US" w:eastAsia="zh-CN" w:bidi="ar"/>
              </w:rPr>
            </w:pPr>
            <w:r>
              <w:rPr>
                <w:rFonts w:hint="eastAsia" w:ascii="宋体" w:hAnsi="宋体" w:cs="宋体"/>
                <w:color w:val="000000"/>
                <w:highlight w:val="none"/>
                <w:lang w:bidi="ar"/>
              </w:rPr>
              <w:t xml:space="preserve">24.1</w:t>
            </w:r>
            <w:r>
              <w:rPr>
                <w:rFonts w:hint="eastAsia" w:ascii="宋体" w:hAnsi="宋体" w:cs="宋体"/>
                <w:color w:val="000000"/>
                <w:highlight w:val="none"/>
                <w:lang w:val="en-US" w:eastAsia="zh-CN" w:bidi="ar"/>
              </w:rPr>
              <w:t xml:space="preserve">1</w:t>
            </w:r>
            <w:r>
              <w:rPr>
                <w:rFonts w:hint="eastAsia" w:ascii="宋体" w:hAnsi="宋体" w:cs="宋体"/>
                <w:color w:val="000000"/>
                <w:sz w:val="21"/>
                <w:szCs w:val="21"/>
                <w:highlight w:val="none"/>
                <w:lang w:val="en-US" w:eastAsia="zh-CN" w:bidi="ar"/>
              </w:rPr>
            </w:r>
            <w:r/>
          </w:p>
        </w:tc>
        <w:tc>
          <w:tcPr>
            <w:tcW w:w="6585" w:type="dxa"/>
            <w:vAlign w:val="center"/>
            <w:textDirection w:val="lrTb"/>
            <w:noWrap w:val="false"/>
          </w:tcPr>
          <w:p>
            <w:pPr>
              <w:pStyle w:val="871"/>
              <w:rPr>
                <w:rFonts w:hint="eastAsia" w:ascii="宋体" w:hAnsi="宋体" w:cs="宋体"/>
                <w:color w:val="000000"/>
                <w:sz w:val="21"/>
                <w:szCs w:val="21"/>
                <w:highlight w:val="none"/>
                <w:lang w:val="en-US" w:eastAsia="zh-CN" w:bidi="ar"/>
              </w:rPr>
            </w:pPr>
            <w:r>
              <w:rPr>
                <w:rFonts w:hint="eastAsia"/>
                <w:color w:val="000000"/>
                <w:highlight w:val="none"/>
              </w:rPr>
              <w:t xml:space="preserve">介绍诊断分类：从慢性肌骨、骨科术后中各选择一个病种、加上卒中共三个，依次展示基础设置中的“</w:t>
            </w:r>
            <w:r>
              <w:rPr>
                <w:color w:val="000000"/>
                <w:highlight w:val="none"/>
              </w:rPr>
              <w:t xml:space="preserve">诊断</w:t>
            </w:r>
            <w:r>
              <w:rPr>
                <w:rFonts w:hint="eastAsia"/>
                <w:color w:val="000000"/>
                <w:highlight w:val="none"/>
              </w:rPr>
              <w:t xml:space="preserve">管理”，如：肩关节的各类别的精细化诊断。</w:t>
            </w:r>
            <w:r>
              <w:rPr>
                <w:rFonts w:hint="eastAsia" w:ascii="宋体" w:hAnsi="宋体" w:cs="宋体"/>
                <w:color w:val="000000"/>
                <w:sz w:val="21"/>
                <w:szCs w:val="21"/>
                <w:highlight w:val="none"/>
                <w:lang w:val="en-US" w:eastAsia="zh-CN" w:bidi="ar"/>
              </w:rPr>
            </w:r>
            <w:r/>
          </w:p>
        </w:tc>
      </w:tr>
      <w:tr>
        <w:trPr/>
        <w:tc>
          <w:tcPr>
            <w:tcW w:w="851" w:type="dxa"/>
            <w:vAlign w:val="center"/>
            <w:vMerge w:val="continue"/>
            <w:textDirection w:val="lrTb"/>
            <w:noWrap w:val="false"/>
          </w:tcPr>
          <w:p>
            <w:pPr>
              <w:pStyle w:val="1000"/>
              <w:jc w:val="center"/>
              <w:rPr>
                <w:rFonts w:ascii="宋体" w:hAnsi="宋体" w:cs="宋体"/>
                <w:color w:val="000000"/>
                <w:highlight w:val="none"/>
                <w:lang w:bidi="ar"/>
              </w:rPr>
            </w:pPr>
            <w:r>
              <w:rPr>
                <w:rFonts w:ascii="宋体" w:hAnsi="宋体" w:cs="宋体"/>
                <w:color w:val="000000"/>
                <w:highlight w:val="none"/>
                <w:lang w:bidi="ar"/>
              </w:rPr>
            </w:r>
            <w:r/>
          </w:p>
        </w:tc>
        <w:tc>
          <w:tcPr>
            <w:tcW w:w="1196" w:type="dxa"/>
            <w:vAlign w:val="center"/>
            <w:vMerge w:val="continue"/>
            <w:textDirection w:val="lrTb"/>
            <w:noWrap w:val="false"/>
          </w:tcPr>
          <w:p>
            <w:pPr>
              <w:pStyle w:val="871"/>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W w:w="877" w:type="dxa"/>
            <w:vAlign w:val="center"/>
            <w:textDirection w:val="lrTb"/>
            <w:noWrap w:val="false"/>
          </w:tcPr>
          <w:p>
            <w:pPr>
              <w:pStyle w:val="871"/>
              <w:jc w:val="center"/>
              <w:rPr>
                <w:rFonts w:ascii="宋体" w:hAnsi="宋体" w:cs="宋体"/>
                <w:color w:val="000000"/>
                <w:highlight w:val="none"/>
                <w:lang w:bidi="ar"/>
              </w:rPr>
            </w:pPr>
            <w:r>
              <w:rPr>
                <w:rFonts w:hint="eastAsia" w:ascii="宋体" w:hAnsi="宋体" w:cs="宋体"/>
                <w:color w:val="000000"/>
                <w:highlight w:val="none"/>
                <w:lang w:bidi="ar"/>
              </w:rPr>
              <w:t xml:space="preserve">24.12</w:t>
            </w:r>
            <w:r>
              <w:rPr>
                <w:rFonts w:ascii="宋体" w:hAnsi="宋体" w:cs="宋体"/>
                <w:color w:val="000000"/>
                <w:highlight w:val="none"/>
                <w:lang w:bidi="ar"/>
              </w:rPr>
            </w:r>
            <w:r/>
          </w:p>
        </w:tc>
        <w:tc>
          <w:tcPr>
            <w:tcW w:w="6585" w:type="dxa"/>
            <w:vAlign w:val="center"/>
            <w:textDirection w:val="lrTb"/>
            <w:noWrap w:val="false"/>
          </w:tcPr>
          <w:p>
            <w:pPr>
              <w:pStyle w:val="871"/>
              <w:rPr>
                <w:rFonts w:ascii="宋体" w:hAnsi="宋体" w:cs="宋体"/>
                <w:color w:val="000000"/>
                <w:highlight w:val="none"/>
                <w:lang w:bidi="ar"/>
              </w:rPr>
            </w:pPr>
            <w:r>
              <w:rPr>
                <w:rFonts w:hint="eastAsia"/>
                <w:color w:val="000000"/>
                <w:highlight w:val="none"/>
              </w:rPr>
              <w:t xml:space="preserve">完整的评估及辅助诊断、方案演示：拿其中一个评估表完整演示，如肩关节。</w:t>
            </w:r>
            <w:r>
              <w:rPr>
                <w:rFonts w:ascii="宋体" w:hAnsi="宋体" w:cs="宋体"/>
                <w:color w:val="000000"/>
                <w:highlight w:val="none"/>
                <w:lang w:bidi="ar"/>
              </w:rPr>
            </w:r>
            <w:r/>
          </w:p>
        </w:tc>
      </w:tr>
    </w:tbl>
    <w:p>
      <w:pPr>
        <w:pStyle w:val="960"/>
        <w:ind w:left="-630" w:firstLine="1120"/>
        <w:spacing w:line="360" w:lineRule="auto"/>
        <w:rPr>
          <w:rFonts w:ascii="仿宋" w:hAnsi="仿宋" w:eastAsia="仿宋" w:cs="仿宋"/>
          <w:b/>
          <w:bCs/>
          <w:color w:val="000000"/>
          <w:sz w:val="28"/>
          <w:szCs w:val="28"/>
          <w:highlight w:val="none"/>
        </w:rPr>
      </w:pPr>
      <w:r>
        <w:rPr>
          <w:rFonts w:hint="eastAsia" w:ascii="宋体" w:hAnsi="宋体" w:cs="宋体"/>
          <w:bCs/>
          <w:color w:val="000000"/>
          <w:highlight w:val="none"/>
          <w:lang w:val="en-US" w:eastAsia="zh-CN"/>
        </w:rPr>
        <w:t xml:space="preserve">2.</w:t>
      </w:r>
      <w:r>
        <w:rPr>
          <w:rFonts w:hint="eastAsia" w:ascii="宋体" w:hAnsi="宋体" w:cs="宋体"/>
          <w:color w:val="000000"/>
          <w:highlight w:val="none"/>
        </w:rPr>
        <w:t xml:space="preserve">平板电脑</w:t>
      </w:r>
      <w:r>
        <w:rPr>
          <w:rFonts w:hint="eastAsia" w:ascii="宋体" w:hAnsi="宋体" w:cs="宋体"/>
          <w:bCs/>
          <w:color w:val="000000"/>
          <w:highlight w:val="none"/>
        </w:rPr>
        <w:t xml:space="preserve">要求</w:t>
      </w:r>
      <w:r>
        <w:rPr>
          <w:rFonts w:ascii="仿宋" w:hAnsi="仿宋" w:eastAsia="仿宋" w:cs="仿宋"/>
          <w:b/>
          <w:bCs/>
          <w:color w:val="000000"/>
          <w:sz w:val="28"/>
          <w:szCs w:val="28"/>
          <w:highlight w:val="none"/>
        </w:rPr>
      </w:r>
      <w:r/>
    </w:p>
    <w:tbl>
      <w:tblPr>
        <w:tblW w:w="9484"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3"/>
        <w:gridCol w:w="8221"/>
      </w:tblGrid>
      <w:tr>
        <w:trPr/>
        <w:tc>
          <w:tcPr>
            <w:tcW w:w="1263" w:type="dxa"/>
            <w:vAlign w:val="center"/>
            <w:textDirection w:val="lrTb"/>
            <w:noWrap w:val="false"/>
          </w:tcPr>
          <w:p>
            <w:pPr>
              <w:pStyle w:val="960"/>
              <w:ind w:left="0"/>
              <w:jc w:val="center"/>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tc>
        <w:tc>
          <w:tcPr>
            <w:tcW w:w="8221" w:type="dxa"/>
            <w:vAlign w:val="center"/>
            <w:textDirection w:val="lrTb"/>
            <w:noWrap w:val="false"/>
          </w:tcPr>
          <w:p>
            <w:pPr>
              <w:pStyle w:val="960"/>
              <w:ind w:left="0"/>
              <w:jc w:val="center"/>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不低于以下</w:t>
            </w:r>
            <w:r>
              <w:rPr>
                <w:rFonts w:hint="eastAsia" w:ascii="宋体" w:hAnsi="宋体" w:cs="宋体"/>
                <w:color w:val="000000"/>
                <w:highlight w:val="none"/>
              </w:rPr>
              <w:t xml:space="preserve">参数</w:t>
            </w:r>
            <w:r>
              <w:rPr>
                <w:rFonts w:ascii="宋体" w:hAnsi="宋体" w:cs="宋体"/>
                <w:color w:val="000000"/>
                <w:highlight w:val="none"/>
                <w:lang w:eastAsia="zh-CN"/>
              </w:rPr>
            </w:r>
            <w:r/>
          </w:p>
        </w:tc>
      </w:tr>
      <w:tr>
        <w:trPr/>
        <w:tc>
          <w:tcPr>
            <w:tcW w:w="1263" w:type="dxa"/>
            <w:vAlign w:val="center"/>
            <w:textDirection w:val="lrTb"/>
            <w:noWrap w:val="false"/>
          </w:tcPr>
          <w:p>
            <w:pPr>
              <w:pStyle w:val="960"/>
              <w:ind w:left="0"/>
              <w:jc w:val="center"/>
              <w:spacing w:line="360" w:lineRule="auto"/>
              <w:rPr>
                <w:rFonts w:ascii="宋体" w:hAnsi="宋体" w:cs="宋体"/>
                <w:color w:val="000000"/>
                <w:highlight w:val="none"/>
              </w:rPr>
            </w:pPr>
            <w:r>
              <w:rPr>
                <w:rFonts w:hint="eastAsia" w:ascii="宋体" w:hAnsi="宋体" w:cs="宋体"/>
                <w:color w:val="000000"/>
                <w:highlight w:val="none"/>
              </w:rPr>
              <w:t xml:space="preserve">平板电脑</w:t>
            </w:r>
            <w:r>
              <w:rPr>
                <w:rFonts w:ascii="宋体" w:hAnsi="宋体" w:cs="宋体"/>
                <w:color w:val="000000"/>
                <w:highlight w:val="none"/>
              </w:rPr>
            </w:r>
            <w:r/>
          </w:p>
        </w:tc>
        <w:tc>
          <w:tcPr>
            <w:tcW w:w="8221" w:type="dxa"/>
            <w:vAlign w:val="center"/>
            <w:textDirection w:val="lrTb"/>
            <w:noWrap w:val="false"/>
          </w:tcPr>
          <w:p>
            <w:pPr>
              <w:pStyle w:val="960"/>
              <w:ind w:left="0"/>
              <w:rPr>
                <w:rFonts w:ascii="宋体" w:hAnsi="宋体" w:cs="宋体"/>
                <w:color w:val="000000"/>
                <w:highlight w:val="none"/>
                <w:lang w:eastAsia="zh-CN"/>
              </w:rPr>
            </w:pPr>
            <w:r>
              <w:rPr>
                <w:rFonts w:hint="eastAsia" w:ascii="宋体" w:hAnsi="宋体" w:cs="宋体"/>
                <w:color w:val="000000"/>
                <w:highlight w:val="none"/>
                <w:lang w:eastAsia="zh-CN"/>
              </w:rPr>
              <w:t xml:space="preserve">操作系统：安卓或鸿蒙；CPU：2.0GHZ分辨率：1920×1200或以上；屏幕尺寸：11英寸或以上；存储内存：8GB+128GB或以上；接口类型：Type-C。</w:t>
            </w:r>
            <w:r>
              <w:rPr>
                <w:rFonts w:ascii="宋体" w:hAnsi="宋体" w:cs="宋体"/>
                <w:color w:val="000000"/>
                <w:highlight w:val="none"/>
                <w:lang w:eastAsia="zh-CN"/>
              </w:rPr>
            </w:r>
            <w:r/>
          </w:p>
        </w:tc>
      </w:tr>
    </w:tbl>
    <w:p>
      <w:pPr>
        <w:pStyle w:val="960"/>
        <w:ind w:left="-630" w:firstLine="1120"/>
        <w:spacing w:line="360" w:lineRule="auto"/>
        <w:rPr>
          <w:rFonts w:ascii="仿宋" w:hAnsi="仿宋" w:eastAsia="仿宋" w:cs="仿宋"/>
          <w:b/>
          <w:bCs/>
          <w:color w:val="000000"/>
          <w:sz w:val="28"/>
          <w:szCs w:val="28"/>
          <w:highlight w:val="none"/>
        </w:rPr>
      </w:pPr>
      <w:r>
        <w:rPr>
          <w:rFonts w:hint="eastAsia" w:ascii="宋体" w:hAnsi="宋体" w:cs="宋体"/>
          <w:bCs/>
          <w:color w:val="000000"/>
          <w:highlight w:val="none"/>
          <w:lang w:val="en-US" w:eastAsia="zh-CN"/>
        </w:rPr>
        <w:t xml:space="preserve">3.</w:t>
      </w:r>
      <w:r>
        <w:rPr>
          <w:rFonts w:hint="eastAsia" w:ascii="宋体" w:hAnsi="宋体" w:cs="宋体"/>
          <w:color w:val="000000"/>
          <w:highlight w:val="none"/>
        </w:rPr>
        <w:t xml:space="preserve">PDA智能终端</w:t>
      </w:r>
      <w:r>
        <w:rPr>
          <w:rFonts w:hint="eastAsia" w:ascii="宋体" w:hAnsi="宋体" w:cs="宋体"/>
          <w:bCs/>
          <w:color w:val="000000"/>
          <w:highlight w:val="none"/>
        </w:rPr>
        <w:t xml:space="preserve">要求</w:t>
      </w:r>
      <w:r>
        <w:rPr>
          <w:rFonts w:ascii="仿宋" w:hAnsi="仿宋" w:eastAsia="仿宋" w:cs="仿宋"/>
          <w:b/>
          <w:bCs/>
          <w:color w:val="000000"/>
          <w:sz w:val="28"/>
          <w:szCs w:val="28"/>
          <w:highlight w:val="none"/>
        </w:rPr>
      </w:r>
      <w:r/>
    </w:p>
    <w:tbl>
      <w:tblPr>
        <w:tblW w:w="9484"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2"/>
        <w:gridCol w:w="8222"/>
      </w:tblGrid>
      <w:tr>
        <w:trPr/>
        <w:tc>
          <w:tcPr>
            <w:tcW w:w="1262" w:type="dxa"/>
            <w:vAlign w:val="center"/>
            <w:textDirection w:val="lrTb"/>
            <w:noWrap w:val="false"/>
          </w:tcPr>
          <w:p>
            <w:pPr>
              <w:pStyle w:val="960"/>
              <w:ind w:left="0"/>
              <w:jc w:val="center"/>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tc>
        <w:tc>
          <w:tcPr>
            <w:tcW w:w="8222" w:type="dxa"/>
            <w:vAlign w:val="center"/>
            <w:textDirection w:val="lrTb"/>
            <w:noWrap w:val="false"/>
          </w:tcPr>
          <w:p>
            <w:pPr>
              <w:pStyle w:val="960"/>
              <w:ind w:left="0"/>
              <w:jc w:val="center"/>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不低于以下</w:t>
            </w:r>
            <w:r>
              <w:rPr>
                <w:rFonts w:hint="eastAsia" w:ascii="宋体" w:hAnsi="宋体" w:cs="宋体"/>
                <w:color w:val="000000"/>
                <w:highlight w:val="none"/>
              </w:rPr>
              <w:t xml:space="preserve">参数</w:t>
            </w:r>
            <w:r>
              <w:rPr>
                <w:rFonts w:ascii="宋体" w:hAnsi="宋体" w:cs="宋体"/>
                <w:color w:val="000000"/>
                <w:highlight w:val="none"/>
                <w:lang w:eastAsia="zh-CN"/>
              </w:rPr>
            </w:r>
            <w:r/>
          </w:p>
        </w:tc>
      </w:tr>
      <w:tr>
        <w:trPr>
          <w:trHeight w:val="1290"/>
        </w:trPr>
        <w:tc>
          <w:tcPr>
            <w:tcW w:w="1262" w:type="dxa"/>
            <w:vAlign w:val="center"/>
            <w:textDirection w:val="lrTb"/>
            <w:noWrap w:val="false"/>
          </w:tcPr>
          <w:p>
            <w:pPr>
              <w:pStyle w:val="960"/>
              <w:ind w:left="0"/>
              <w:jc w:val="center"/>
              <w:spacing w:line="360" w:lineRule="auto"/>
              <w:rPr>
                <w:rFonts w:ascii="宋体" w:hAnsi="宋体" w:cs="宋体"/>
                <w:color w:val="000000"/>
                <w:highlight w:val="none"/>
              </w:rPr>
            </w:pPr>
            <w:r>
              <w:rPr>
                <w:rFonts w:hint="eastAsia" w:ascii="宋体" w:hAnsi="宋体" w:cs="宋体"/>
                <w:color w:val="000000"/>
                <w:highlight w:val="none"/>
              </w:rPr>
              <w:t xml:space="preserve">PDA智能终端</w:t>
            </w:r>
            <w:r>
              <w:rPr>
                <w:rFonts w:ascii="宋体" w:hAnsi="宋体" w:cs="宋体"/>
                <w:color w:val="000000"/>
                <w:highlight w:val="none"/>
              </w:rPr>
            </w:r>
            <w:r/>
          </w:p>
        </w:tc>
        <w:tc>
          <w:tcPr>
            <w:tcW w:w="8222" w:type="dxa"/>
            <w:vAlign w:val="center"/>
            <w:textDirection w:val="lrTb"/>
            <w:noWrap w:val="false"/>
          </w:tcPr>
          <w:p>
            <w:pPr>
              <w:pStyle w:val="960"/>
              <w:ind w:left="0"/>
              <w:rPr>
                <w:rFonts w:ascii="宋体" w:hAnsi="宋体" w:cs="宋体"/>
                <w:color w:val="000000"/>
                <w:highlight w:val="none"/>
                <w:lang w:eastAsia="zh-CN"/>
              </w:rPr>
            </w:pPr>
            <w:r>
              <w:rPr>
                <w:rFonts w:hint="eastAsia" w:ascii="宋体" w:hAnsi="宋体" w:cs="宋体"/>
                <w:color w:val="000000"/>
                <w:highlight w:val="none"/>
                <w:lang w:eastAsia="zh-CN" w:bidi="ar"/>
              </w:rPr>
              <w:t xml:space="preserve">操</w:t>
            </w:r>
            <w:r>
              <w:rPr>
                <w:rFonts w:hint="eastAsia" w:ascii="宋体" w:hAnsi="宋体" w:cs="宋体"/>
                <w:color w:val="000000"/>
                <w:highlight w:val="none"/>
                <w:lang w:eastAsia="zh-CN"/>
              </w:rPr>
              <w:t xml:space="preserve">作系统：安卓或鸿蒙；刷新率：120HZ；分辨率：1080×2400或以上；屏幕尺寸：6.7英寸或以上；存储内存：8GB+128GB或以上；接口类型：Type-C。</w:t>
            </w:r>
            <w:r>
              <w:rPr>
                <w:rFonts w:ascii="宋体" w:hAnsi="宋体" w:cs="宋体"/>
                <w:color w:val="000000"/>
                <w:highlight w:val="none"/>
                <w:lang w:eastAsia="zh-CN"/>
              </w:rPr>
            </w:r>
            <w:r/>
          </w:p>
        </w:tc>
      </w:tr>
    </w:tbl>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w:t>
      </w:r>
      <w:r>
        <w:rPr>
          <w:rFonts w:hint="eastAsia" w:ascii="宋体" w:hAnsi="宋体" w:cs="宋体"/>
          <w:color w:val="000000"/>
          <w:sz w:val="24"/>
          <w:szCs w:val="24"/>
          <w:highlight w:val="none"/>
          <w:lang w:val="en-US" w:eastAsia="zh-CN"/>
        </w:rPr>
        <w:t xml:space="preserve">及对接</w:t>
      </w: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供应商提供的系统能够根据采购人实际需求与医院各院区所有信息系统、集成平台做对接及集成（对接人：</w:t>
      </w:r>
      <w:r>
        <w:rPr>
          <w:rFonts w:ascii="宋体" w:hAnsi="宋体" w:cs="宋体"/>
          <w:color w:val="000000"/>
          <w:sz w:val="24"/>
          <w:szCs w:val="24"/>
          <w:highlight w:val="none"/>
        </w:rPr>
        <w:t xml:space="preserve">朱</w:t>
      </w:r>
      <w:r>
        <w:rPr>
          <w:rFonts w:hint="eastAsia" w:ascii="宋体" w:hAnsi="宋体" w:cs="宋体"/>
          <w:color w:val="000000"/>
          <w:sz w:val="24"/>
          <w:szCs w:val="24"/>
          <w:highlight w:val="none"/>
        </w:rPr>
        <w:t xml:space="preserve">工 联系电话：</w:t>
      </w:r>
      <w:r>
        <w:rPr>
          <w:rFonts w:ascii="宋体" w:hAnsi="宋体" w:cs="宋体"/>
          <w:color w:val="000000"/>
          <w:sz w:val="24"/>
          <w:szCs w:val="24"/>
          <w:highlight w:val="none"/>
        </w:rPr>
        <w:t xml:space="preserve">025-83106666转</w:t>
      </w:r>
      <w:r>
        <w:rPr>
          <w:rFonts w:hint="eastAsia" w:ascii="宋体" w:hAnsi="宋体" w:cs="宋体"/>
          <w:color w:val="000000"/>
          <w:sz w:val="24"/>
          <w:szCs w:val="24"/>
          <w:highlight w:val="none"/>
        </w:rPr>
        <w:t xml:space="preserve">60618）：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7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olor w:val="000000"/>
          <w:sz w:val="24"/>
          <w:szCs w:val="24"/>
          <w:highlight w:val="none"/>
        </w:rPr>
      </w:r>
      <w:r/>
    </w:p>
    <w:p>
      <w:pPr>
        <w:pStyle w:val="87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highlight w:val="none"/>
          <w:lang w:bidi="ar"/>
        </w:rPr>
        <w:t xml:space="preserve">形成验收文件作</w:t>
      </w:r>
      <w:r>
        <w:rPr>
          <w:rFonts w:hint="eastAsia" w:ascii="宋体" w:hAnsi="宋体"/>
          <w:color w:val="000000"/>
          <w:sz w:val="24"/>
          <w:szCs w:val="24"/>
          <w:highlight w:val="none"/>
        </w:rPr>
        <w:t xml:space="preserve">为验收依据。验收测试合格后，双方签署验收协议，系统试运行。</w:t>
      </w:r>
      <w:r>
        <w:rPr>
          <w:rFonts w:ascii="宋体" w:hAnsi="宋体"/>
          <w:color w:val="000000"/>
          <w:sz w:val="24"/>
          <w:szCs w:val="24"/>
          <w:highlight w:val="none"/>
        </w:rPr>
      </w:r>
      <w:r/>
    </w:p>
    <w:p>
      <w:pPr>
        <w:pStyle w:val="871"/>
        <w:ind w:firstLine="480"/>
        <w:spacing w:line="264" w:lineRule="auto"/>
        <w:rPr>
          <w:rFonts w:ascii="宋体" w:hAnsi="宋体" w:cs="宋体"/>
          <w:bCs/>
          <w:color w:val="000000"/>
          <w:sz w:val="24"/>
          <w:szCs w:val="24"/>
          <w:highlight w:val="none"/>
        </w:rPr>
      </w:pPr>
      <w:r>
        <w:rPr>
          <w:rFonts w:hint="eastAsia" w:ascii="宋体" w:hAnsi="宋体"/>
          <w:color w:val="000000"/>
          <w:sz w:val="24"/>
          <w:szCs w:val="24"/>
          <w:highlight w:val="none"/>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color w:val="000000"/>
          <w:sz w:val="24"/>
          <w:szCs w:val="24"/>
          <w:highlight w:val="none"/>
        </w:rPr>
      </w:r>
      <w:r/>
    </w:p>
    <w:p>
      <w:pPr>
        <w:pStyle w:val="871"/>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（4）维保要求</w:t>
      </w:r>
      <w:r>
        <w:rPr>
          <w:rFonts w:ascii="宋体" w:hAnsi="宋体" w:cs="宋体"/>
          <w:bCs/>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①维保期：供应商应确保本次采购所有项目的安全稳定的运行，</w:t>
      </w:r>
      <w:r>
        <w:rPr>
          <w:rFonts w:hint="eastAsia" w:ascii="宋体" w:hAnsi="宋体" w:cs="宋体"/>
          <w:b/>
          <w:bCs/>
          <w:color w:val="000000"/>
          <w:sz w:val="24"/>
          <w:szCs w:val="24"/>
          <w:highlight w:val="none"/>
        </w:rPr>
        <w:t xml:space="preserve">并提供三年维保服务</w:t>
      </w:r>
      <w:r>
        <w:rPr>
          <w:rFonts w:hint="eastAsia" w:ascii="宋体" w:hAnsi="宋体" w:cs="宋体"/>
          <w:color w:val="000000"/>
          <w:sz w:val="24"/>
          <w:szCs w:val="24"/>
          <w:highlight w:val="none"/>
        </w:rPr>
        <w:t xml:space="preserve">（自验收报告签字确认日起，开始进入维保期，相关费用包含在本次报价中）。维保期内，本合同项目所有技术和服务发生任何非人为故障，由供应商负责系统恢复。</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②维保期内，对采购人提出的合理服务要求，供应商必须即时进行电话、邮件及远程网络支持，并在4小时内到场服务，小型故障恢复时间为4个小时</w:t>
      </w:r>
      <w:r>
        <w:rPr>
          <w:rFonts w:hint="eastAsia" w:ascii="宋体" w:hAnsi="宋体" w:cs="宋体"/>
          <w:color w:val="000000"/>
          <w:sz w:val="24"/>
          <w:szCs w:val="24"/>
          <w:highlight w:val="none"/>
          <w:lang w:val="en-US" w:eastAsia="zh-CN"/>
        </w:rPr>
        <w:t xml:space="preserve">内</w:t>
      </w:r>
      <w:r>
        <w:rPr>
          <w:rFonts w:hint="eastAsia" w:ascii="宋体" w:hAnsi="宋体" w:cs="宋体"/>
          <w:color w:val="000000"/>
          <w:sz w:val="24"/>
          <w:szCs w:val="24"/>
          <w:highlight w:val="none"/>
        </w:rPr>
        <w:t xml:space="preserve">，严重故障恢复时间为24小时内，并及时有效的提供解决方案。如不到场，采购人有权自行处理，相关费用由供应商负责。</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③供应商须提供定期回访服务，对采购人提出的合理优化建议应提供升级服务。</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④所有的服务方式均为供应商上门保修，即由供应商派员到系统使用现场进行故障恢复，由此产生的一切费用均由供应商承担。</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⑤本采购项目出保后每年的维护费不超过合同总金额的5%。</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⑥质保期内供应商提供的系统软件升级，保证采购人使用最新版本软件。质保期满后软件版本内终身升级。</w:t>
      </w:r>
      <w:r>
        <w:rPr>
          <w:rFonts w:ascii="宋体" w:hAnsi="宋体" w:cs="宋体"/>
          <w:color w:val="000000"/>
          <w:sz w:val="24"/>
          <w:szCs w:val="24"/>
          <w:highlight w:val="none"/>
        </w:rPr>
      </w:r>
      <w:r/>
    </w:p>
    <w:p>
      <w:pPr>
        <w:pStyle w:val="871"/>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（5）人员要求</w:t>
      </w:r>
      <w:r>
        <w:rPr>
          <w:rFonts w:ascii="宋体" w:hAnsi="宋体" w:cs="宋体"/>
          <w:bCs/>
          <w:color w:val="000000"/>
          <w:sz w:val="24"/>
          <w:szCs w:val="24"/>
          <w:highlight w:val="none"/>
        </w:rPr>
      </w:r>
      <w:r/>
    </w:p>
    <w:p>
      <w:pPr>
        <w:pStyle w:val="87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①项目经理：1人，具有至少3年以上信息化项目管理工作经验。</w:t>
      </w:r>
      <w:r>
        <w:rPr>
          <w:rFonts w:ascii="宋体" w:hAnsi="宋体"/>
          <w:color w:val="000000"/>
          <w:sz w:val="24"/>
          <w:szCs w:val="24"/>
          <w:highlight w:val="none"/>
        </w:rPr>
      </w:r>
      <w:r/>
    </w:p>
    <w:p>
      <w:pPr>
        <w:pStyle w:val="871"/>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    ②开发实施人员：不少于3人，具有信息化工作经验，项目开发期间至系统上线并平稳运行三个月内须至少2人驻场服务。 </w:t>
      </w:r>
      <w:r>
        <w:rPr>
          <w:rFonts w:ascii="宋体" w:hAnsi="宋体"/>
          <w:color w:val="000000"/>
          <w:sz w:val="24"/>
          <w:szCs w:val="24"/>
          <w:highlight w:val="none"/>
        </w:rPr>
      </w:r>
      <w:r/>
    </w:p>
    <w:p>
      <w:pPr>
        <w:pStyle w:val="87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③运维服务人员：不少于2人，具有信息化工作经验。 </w:t>
      </w:r>
      <w:r>
        <w:rPr>
          <w:rFonts w:ascii="宋体" w:hAnsi="宋体"/>
          <w:color w:val="000000"/>
          <w:sz w:val="24"/>
          <w:szCs w:val="24"/>
          <w:highlight w:val="none"/>
        </w:rPr>
      </w:r>
      <w:r/>
    </w:p>
    <w:p>
      <w:pPr>
        <w:pStyle w:val="87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④项目组所有人员必须为供应商正式工作人员，不得兼任其他项目工作，未经采购人同意，人员不得更换。 </w:t>
      </w:r>
      <w:r>
        <w:rPr>
          <w:rFonts w:ascii="宋体" w:hAnsi="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（7）建设成果要求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（8）信创适配要求</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（9）网络安全等级保护测评要求</w:t>
      </w:r>
      <w:r>
        <w:rPr>
          <w:rFonts w:hint="eastAsia" w:ascii="宋体" w:hAnsi="宋体" w:eastAsia="宋体" w:cs="Times New Roman"/>
          <w:color w:val="000000"/>
          <w:sz w:val="24"/>
          <w:szCs w:val="24"/>
          <w:highlight w:val="none"/>
          <w:lang w:val="en-US" w:eastAsia="zh-CN"/>
        </w:rPr>
      </w:r>
      <w:r/>
    </w:p>
    <w:p>
      <w:pPr>
        <w:pStyle w:val="871"/>
        <w:ind w:firstLine="480"/>
        <w:spacing w:line="264"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供应商配合采购人，做好系统通过等保测评相关准备工作。</w:t>
      </w:r>
      <w:r>
        <w:rPr>
          <w:rFonts w:ascii="宋体" w:hAnsi="宋体" w:eastAsia="宋体" w:cs="Times New Roman"/>
          <w:color w:val="000000"/>
          <w:sz w:val="24"/>
          <w:szCs w:val="24"/>
          <w:highlight w:val="none"/>
          <w:lang w:val="en-US" w:eastAsia="zh-CN"/>
        </w:rPr>
      </w:r>
      <w:r/>
    </w:p>
    <w:p>
      <w:pPr>
        <w:pStyle w:val="871"/>
        <w:numPr>
          <w:ilvl w:val="0"/>
          <w:numId w:val="0"/>
        </w:numPr>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（10）网络安全和数据安全要求，外包网络安全管理要求</w:t>
      </w:r>
      <w:r>
        <w:rPr>
          <w:rFonts w:hint="eastAsia" w:ascii="宋体" w:hAnsi="宋体" w:eastAsia="宋体" w:cs="Times New Roman"/>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cs="宋体"/>
          <w:color w:val="000000"/>
          <w:sz w:val="24"/>
          <w:szCs w:val="24"/>
          <w:highlight w:val="none"/>
        </w:rPr>
        <w:t xml:space="preserve">合同签订后</w:t>
      </w:r>
      <w:r>
        <w:rPr>
          <w:rFonts w:hint="eastAsia" w:ascii="宋体" w:hAnsi="宋体"/>
          <w:color w:val="000000"/>
          <w:sz w:val="24"/>
          <w:szCs w:val="24"/>
          <w:highlight w:val="none"/>
        </w:rPr>
        <w:t xml:space="preserve">60</w:t>
      </w:r>
      <w:r>
        <w:rPr>
          <w:rFonts w:ascii="宋体" w:hAnsi="宋体" w:cs="宋体"/>
          <w:color w:val="000000"/>
          <w:sz w:val="24"/>
          <w:szCs w:val="24"/>
          <w:highlight w:val="none"/>
        </w:rPr>
        <w:t xml:space="preserve">天内</w:t>
      </w:r>
      <w:r>
        <w:rPr>
          <w:rFonts w:hint="eastAsia" w:ascii="宋体" w:hAnsi="宋体" w:cs="宋体"/>
          <w:color w:val="000000"/>
          <w:sz w:val="24"/>
          <w:szCs w:val="24"/>
          <w:highlight w:val="none"/>
        </w:rPr>
        <w:t xml:space="preserve">完成系统开发及到货交付整体验收工作</w:t>
      </w:r>
      <w:r>
        <w:rPr>
          <w:rFonts w:ascii="宋体" w:hAnsi="宋体" w:cs="宋体"/>
          <w:color w:val="000000"/>
          <w:sz w:val="24"/>
          <w:szCs w:val="24"/>
          <w:highlight w:val="none"/>
        </w:rPr>
        <w:t xml:space="preserve">。</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视频时长</w:t>
      </w:r>
      <w:r>
        <w:rPr>
          <w:rFonts w:hint="eastAsia" w:ascii="宋体" w:hAnsi="宋体" w:eastAsia="宋体" w:cs="宋体"/>
          <w:color w:val="000000"/>
          <w:sz w:val="24"/>
          <w:szCs w:val="24"/>
          <w:highlight w:val="none"/>
        </w:rPr>
        <w:t xml:space="preserve">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2.演示内容详见“第五章  评标方法与评标标准”。</w:t>
      </w:r>
      <w:r>
        <w:rPr>
          <w:rFonts w:hint="eastAsia" w:ascii="宋体" w:hAnsi="宋体" w:eastAsia="宋体" w:cs="Times New Roman"/>
          <w:color w:val="000000"/>
          <w:sz w:val="24"/>
          <w:szCs w:val="24"/>
          <w:highlight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9"/>
        <w:rPr>
          <w:rFonts w:hint="eastAsia"/>
          <w:color w:val="000000"/>
          <w:highlight w:val="none"/>
          <w:lang w:val="en-US" w:eastAsia="zh-CN"/>
        </w:rPr>
      </w:pPr>
      <w:r>
        <w:rPr>
          <w:rFonts w:hint="eastAsia"/>
          <w:color w:val="000000"/>
          <w:highlight w:val="none"/>
          <w:lang w:val="en-US" w:eastAsia="zh-CN"/>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color w:val="000000"/>
          <w:highlight w:val="none"/>
        </w:rPr>
      </w:pPr>
      <w:r>
        <w:rPr>
          <w:rFonts w:hint="eastAsia"/>
          <w:color w:val="000000"/>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color w:val="000000"/>
          <w:highlight w:val="none"/>
        </w:rPr>
      </w:pPr>
      <w:r>
        <w:rPr>
          <w:rFonts w:hint="eastAsia"/>
          <w:color w:val="000000"/>
          <w:highlight w:val="none"/>
        </w:rPr>
      </w:r>
      <w:r/>
    </w:p>
    <w:p>
      <w:pPr>
        <w:pStyle w:val="883"/>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83"/>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83"/>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83"/>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83"/>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194"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4.2</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1"/>
        <w:ind w:firstLine="48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1"/>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ind w:firstLine="420"/>
        <w:rPr>
          <w:rFonts w:hint="eastAsia" w:ascii="宋体" w:hAnsi="宋体" w:eastAsia="宋体" w:cs="Times New Roman"/>
          <w:b/>
          <w:bCs/>
          <w:i w:val="0"/>
          <w:iCs w:val="0"/>
          <w:caps w:val="0"/>
          <w:color w:val="000000"/>
          <w:spacing w:val="0"/>
          <w:sz w:val="24"/>
          <w:szCs w:val="24"/>
          <w:highlight w:val="none"/>
          <w:shd w:val="clear" w:color="auto" w:fill="auto"/>
          <w:lang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lang w:eastAsia="zh-CN"/>
        </w:rPr>
      </w:r>
      <w:r/>
    </w:p>
    <w:p>
      <w:pPr>
        <w:pStyle w:val="87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highlight w:val="none"/>
        </w:rPr>
        <w:t xml:space="preserve">供应商需在《声明函》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1"/>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000000"/>
                <w:highlight w:val="none"/>
                <w:lang w:val="en-US" w:eastAsia="zh-CN"/>
              </w:rPr>
              <w:t xml:space="preserve">价格分值（小数点保留两位）</w:t>
            </w:r>
            <w:r>
              <w:rPr>
                <w:rFonts w:hint="eastAsia" w:ascii="宋体" w:hAnsi="宋体" w:cs="宋体"/>
                <w:color w:val="000000"/>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lang w:val="en-US" w:eastAsia="zh-CN"/>
              </w:rPr>
              <w:t xml:space="preserve">产品</w:t>
            </w:r>
            <w:r>
              <w:rPr>
                <w:rFonts w:hint="eastAsia" w:ascii="宋体" w:hAnsi="宋体" w:cs="宋体"/>
                <w:color w:val="000000"/>
                <w:highlight w:val="none"/>
                <w:lang w:val="en-US" w:eastAsia="zh-CN"/>
              </w:rPr>
              <w:t xml:space="preserve">技术参数全部满足招标要求的得满分</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t xml:space="preserve">打★指标为必须满足项，如有负偏离将作为无效投标</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t xml:space="preserve">打▲指标为重要指标</w:t>
            </w:r>
            <w:r>
              <w:rPr>
                <w:rFonts w:hint="eastAsia" w:ascii="宋体" w:hAnsi="宋体" w:cs="宋体"/>
                <w:color w:val="000000"/>
                <w:highlight w:val="none"/>
                <w:lang w:val="en-US" w:eastAsia="zh-CN"/>
              </w:rPr>
              <w:t xml:space="preserve">（共10项）</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t xml:space="preserve">有1项负偏离扣0.5分，其余指标（共170项）有1项负偏离扣0.1分。</w:t>
            </w:r>
            <w:r>
              <w:rPr>
                <w:rFonts w:hint="eastAsia" w:ascii="宋体" w:hAnsi="宋体" w:cs="宋体"/>
                <w:color w:val="000000"/>
                <w:highlight w:val="none"/>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71"/>
              <w:jc w:val="center"/>
              <w:spacing w:before="68" w:line="264" w:lineRule="auto"/>
              <w:rPr>
                <w:rFonts w:hint="eastAsia" w:ascii="宋体" w:hAnsi="宋体" w:cs="宋体"/>
                <w:color w:val="000000"/>
                <w:spacing w:val="-2"/>
                <w:sz w:val="21"/>
                <w:szCs w:val="21"/>
                <w:highlight w:val="none"/>
                <w:lang w:val="en-US" w:eastAsia="zh-CN" w:bidi="ar-SA"/>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.2</w:t>
            </w:r>
            <w:r>
              <w:rPr>
                <w:rFonts w:hint="eastAsia" w:ascii="宋体" w:hAnsi="宋体" w:cs="宋体"/>
                <w:color w:val="000000"/>
                <w:spacing w:val="-2"/>
                <w:sz w:val="21"/>
                <w:szCs w:val="21"/>
                <w:highlight w:val="none"/>
                <w:lang w:val="en-US" w:eastAsia="zh-CN" w:bidi="ar-SA"/>
              </w:rPr>
            </w:r>
            <w:r/>
          </w:p>
        </w:tc>
        <w:tc>
          <w:tcPr>
            <w:tcW w:w="1179" w:type="dxa"/>
            <w:vAlign w:val="center"/>
            <w:textDirection w:val="lrTb"/>
            <w:noWrap w:val="false"/>
          </w:tcPr>
          <w:p>
            <w:pPr>
              <w:pStyle w:val="871"/>
              <w:spacing w:line="264" w:lineRule="auto"/>
              <w:rPr>
                <w:rFonts w:hint="eastAsia" w:ascii="Times New Roman" w:hAnsi="Times New Roman"/>
                <w:color w:val="000000"/>
                <w:sz w:val="21"/>
                <w:szCs w:val="21"/>
                <w:highlight w:val="none"/>
                <w:lang w:val="en-US" w:eastAsia="zh-CN" w:bidi="ar-SA"/>
              </w:rPr>
            </w:pPr>
            <w:r>
              <w:rPr>
                <w:rFonts w:hint="eastAsia"/>
                <w:color w:val="000000"/>
                <w:highlight w:val="none"/>
              </w:rPr>
              <w:t xml:space="preserve">需求理解</w:t>
            </w:r>
            <w:r>
              <w:rPr>
                <w:rFonts w:hint="eastAsia" w:ascii="Times New Roman" w:hAnsi="Times New Roman"/>
                <w:color w:val="000000"/>
                <w:sz w:val="21"/>
                <w:szCs w:val="21"/>
                <w:highlight w:val="none"/>
                <w:lang w:val="en-US" w:eastAsia="zh-CN" w:bidi="ar-SA"/>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lang w:val="en-US" w:bidi="ar-SA"/>
              </w:rPr>
              <w:t xml:space="preserve">根据本项目采购需求编制方案，内容包含：</w:t>
            </w:r>
            <w:r>
              <w:rPr>
                <w:rFonts w:hint="eastAsia" w:ascii="宋体" w:hAnsi="宋体" w:cs="宋体"/>
                <w:color w:val="000000"/>
                <w:highlight w:val="none"/>
              </w:rPr>
              <w:t xml:space="preserve">1.业务需求分析；2.</w:t>
            </w:r>
            <w:r>
              <w:rPr>
                <w:rFonts w:hint="eastAsia" w:ascii="宋体" w:hAnsi="宋体" w:cs="宋体"/>
                <w:color w:val="000000"/>
                <w:highlight w:val="none"/>
              </w:rPr>
              <w:t xml:space="preserve">建设目标</w:t>
            </w:r>
            <w:r>
              <w:rPr>
                <w:rFonts w:hint="eastAsia" w:ascii="宋体" w:hAnsi="宋体" w:cs="宋体"/>
                <w:color w:val="000000"/>
                <w:highlight w:val="none"/>
              </w:rPr>
              <w:t xml:space="preserve">分析；3.</w:t>
            </w:r>
            <w:r>
              <w:rPr>
                <w:rFonts w:hint="eastAsia" w:ascii="宋体" w:hAnsi="宋体" w:cs="宋体"/>
                <w:color w:val="000000"/>
                <w:highlight w:val="none"/>
              </w:rPr>
              <w:t xml:space="preserve">建设依据、必要性</w:t>
            </w:r>
            <w:r>
              <w:rPr>
                <w:rFonts w:hint="eastAsia" w:ascii="宋体" w:hAnsi="宋体" w:cs="宋体"/>
                <w:color w:val="000000"/>
                <w:highlight w:val="none"/>
              </w:rPr>
              <w:t xml:space="preserve">分析；4.</w:t>
            </w:r>
            <w:r>
              <w:rPr>
                <w:rFonts w:hint="eastAsia" w:ascii="宋体" w:hAnsi="宋体" w:cs="宋体"/>
                <w:color w:val="000000"/>
                <w:highlight w:val="none"/>
              </w:rPr>
              <w:t xml:space="preserve">重点难点</w:t>
            </w:r>
            <w:r>
              <w:rPr>
                <w:rFonts w:hint="eastAsia" w:ascii="宋体" w:hAnsi="宋体" w:cs="宋体"/>
                <w:color w:val="000000"/>
                <w:highlight w:val="none"/>
              </w:rPr>
              <w:t xml:space="preserve">分析。</w:t>
            </w:r>
            <w:r>
              <w:rPr>
                <w:rFonts w:hint="eastAsia" w:ascii="宋体" w:hAnsi="宋体" w:cs="宋体"/>
                <w:color w:val="000000"/>
                <w:highlight w:val="none"/>
                <w:lang w:val="en-US" w:bidi="ar-SA"/>
              </w:rPr>
              <w:t xml:space="preserve">以上每项内容逐项评分：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（1）业务需求分析：</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业务需求分析内容</w:t>
            </w:r>
            <w:r>
              <w:rPr>
                <w:rFonts w:hint="eastAsia" w:ascii="宋体" w:hAnsi="宋体" w:cs="宋体"/>
                <w:color w:val="000000"/>
                <w:highlight w:val="none"/>
              </w:rPr>
              <w:t xml:space="preserve">完整深刻、针对性强、紧贴采购需求的，得</w:t>
            </w:r>
            <w:r>
              <w:rPr>
                <w:rFonts w:hint="eastAsia" w:ascii="宋体" w:hAnsi="宋体" w:cs="宋体"/>
                <w:color w:val="000000"/>
                <w:highlight w:val="none"/>
              </w:rPr>
              <w:t xml:space="preserve">1</w:t>
            </w:r>
            <w:r>
              <w:rPr>
                <w:rFonts w:hint="eastAsia" w:ascii="宋体" w:hAnsi="宋体" w:cs="宋体"/>
                <w:color w:val="000000"/>
                <w:highlight w:val="none"/>
              </w:rPr>
              <w:t xml:space="preserve">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业务需求分析内容基本完整、针对性较强、较符合需求的，得0.5分；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w:t>
            </w:r>
            <w:r>
              <w:rPr>
                <w:rFonts w:hint="eastAsia" w:ascii="宋体" w:hAnsi="宋体" w:cs="宋体"/>
                <w:color w:val="000000"/>
                <w:highlight w:val="none"/>
              </w:rPr>
              <w:t xml:space="preserve">的内容完全</w:t>
            </w:r>
            <w:r>
              <w:rPr>
                <w:rFonts w:hint="eastAsia" w:ascii="宋体" w:hAnsi="宋体" w:cs="宋体"/>
                <w:color w:val="000000"/>
                <w:highlight w:val="none"/>
              </w:rPr>
              <w:t xml:space="preserve">不符合采购需求的不得分。</w:t>
            </w:r>
            <w:r>
              <w:rPr>
                <w:rFonts w:hint="eastAsia" w:ascii="宋体" w:hAnsi="宋体" w:cs="宋体"/>
                <w:color w:val="000000"/>
                <w:highlight w:val="none"/>
              </w:rPr>
              <w:t xml:space="preserve"> </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（2）</w:t>
            </w:r>
            <w:r>
              <w:rPr>
                <w:rFonts w:hint="eastAsia" w:ascii="宋体" w:hAnsi="宋体" w:cs="宋体"/>
                <w:color w:val="000000"/>
                <w:highlight w:val="none"/>
              </w:rPr>
              <w:t xml:space="preserve">建设目标</w:t>
            </w:r>
            <w:r>
              <w:rPr>
                <w:rFonts w:hint="eastAsia" w:ascii="宋体" w:hAnsi="宋体" w:cs="宋体"/>
                <w:color w:val="000000"/>
                <w:highlight w:val="none"/>
              </w:rPr>
              <w:t xml:space="preserve">分析：</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建设目标</w:t>
            </w:r>
            <w:r>
              <w:rPr>
                <w:rFonts w:hint="eastAsia" w:ascii="宋体" w:hAnsi="宋体" w:cs="宋体"/>
                <w:color w:val="000000"/>
                <w:highlight w:val="none"/>
              </w:rPr>
              <w:t xml:space="preserve">分析准确、深度贴合业务科室建设目标的，得1分；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建设目标</w:t>
            </w:r>
            <w:r>
              <w:rPr>
                <w:rFonts w:hint="eastAsia" w:ascii="宋体" w:hAnsi="宋体" w:cs="宋体"/>
                <w:color w:val="000000"/>
                <w:highlight w:val="none"/>
              </w:rPr>
              <w:t xml:space="preserve">分析较准确、基本符合业务科室建设目标的，得0.5分；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w:t>
            </w:r>
            <w:r>
              <w:rPr>
                <w:rFonts w:hint="eastAsia" w:ascii="宋体" w:hAnsi="宋体" w:cs="宋体"/>
                <w:color w:val="000000"/>
                <w:highlight w:val="none"/>
              </w:rPr>
              <w:t xml:space="preserve">的内容完全</w:t>
            </w:r>
            <w:r>
              <w:rPr>
                <w:rFonts w:hint="eastAsia" w:ascii="宋体" w:hAnsi="宋体" w:cs="宋体"/>
                <w:color w:val="000000"/>
                <w:highlight w:val="none"/>
              </w:rPr>
              <w:t xml:space="preserve">不符合采购需求的不得分。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（3）建设依据、必要性分析：</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建设依据与必要性分析内容完整、分析科学的，得1分；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建设依据与必要性分析内容较完整、分析较科学的，得0.5分；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w:t>
            </w:r>
            <w:r>
              <w:rPr>
                <w:rFonts w:hint="eastAsia" w:ascii="宋体" w:hAnsi="宋体" w:cs="宋体"/>
                <w:color w:val="000000"/>
                <w:highlight w:val="none"/>
              </w:rPr>
              <w:t xml:space="preserve">的内容完全</w:t>
            </w:r>
            <w:r>
              <w:rPr>
                <w:rFonts w:hint="eastAsia" w:ascii="宋体" w:hAnsi="宋体" w:cs="宋体"/>
                <w:color w:val="000000"/>
                <w:highlight w:val="none"/>
              </w:rPr>
              <w:t xml:space="preserve">不符合采购需求的不得分。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（4）</w:t>
            </w:r>
            <w:r>
              <w:rPr>
                <w:rFonts w:hint="eastAsia" w:ascii="宋体" w:hAnsi="宋体" w:cs="宋体"/>
                <w:color w:val="000000"/>
                <w:highlight w:val="none"/>
              </w:rPr>
              <w:t xml:space="preserve">重点难点</w:t>
            </w:r>
            <w:r>
              <w:rPr>
                <w:rFonts w:hint="eastAsia" w:ascii="宋体" w:hAnsi="宋体" w:cs="宋体"/>
                <w:color w:val="000000"/>
                <w:highlight w:val="none"/>
              </w:rPr>
              <w:t xml:space="preserve">分析：</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重难点分析清晰完整，内容详细具体的，得1分；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重难点分析较清晰完整，内容较详细具体得，得0.5分；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w:t>
            </w:r>
            <w:r>
              <w:rPr>
                <w:rFonts w:hint="eastAsia" w:ascii="宋体" w:hAnsi="宋体" w:cs="宋体"/>
                <w:color w:val="000000"/>
                <w:highlight w:val="none"/>
              </w:rPr>
              <w:t xml:space="preserve">的内容完全</w:t>
            </w:r>
            <w:r>
              <w:rPr>
                <w:rFonts w:hint="eastAsia" w:ascii="宋体" w:hAnsi="宋体" w:cs="宋体"/>
                <w:color w:val="000000"/>
                <w:highlight w:val="none"/>
              </w:rPr>
              <w:t xml:space="preserve">不符合采购需求的不得分。</w:t>
            </w:r>
            <w:r>
              <w:rPr>
                <w:rFonts w:hint="eastAsia" w:ascii="宋体" w:hAnsi="宋体" w:cs="宋体"/>
                <w:color w:val="000000"/>
                <w:highlight w:val="none"/>
              </w:rPr>
            </w:r>
            <w:r/>
          </w:p>
        </w:tc>
        <w:tc>
          <w:tcPr>
            <w:tcW w:w="647"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rPr>
              <w:t xml:space="preserve">4</w:t>
            </w:r>
            <w:r>
              <w:rPr>
                <w:rFonts w:hint="eastAsia" w:ascii="宋体" w:hAnsi="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spacing w:val="-4"/>
                <w:highlight w:val="none"/>
              </w:rPr>
              <w:t xml:space="preserve">主观分</w:t>
            </w:r>
            <w:r>
              <w:rPr>
                <w:rFonts w:hint="eastAsia" w:ascii="宋体" w:hAnsi="宋体" w:cs="宋体"/>
                <w:color w:val="000000"/>
                <w:sz w:val="21"/>
                <w:szCs w:val="21"/>
                <w:highlight w:val="none"/>
                <w:lang w:val="en-US" w:eastAsia="zh-CN" w:bidi="ar-SA"/>
              </w:rPr>
            </w:r>
            <w:r/>
          </w:p>
        </w:tc>
      </w:tr>
      <w:tr>
        <w:trPr>
          <w:trHeight w:val="315"/>
        </w:trPr>
        <w:tc>
          <w:tcPr>
            <w:tcW w:w="519" w:type="dxa"/>
            <w:vAlign w:val="center"/>
            <w:textDirection w:val="lrTb"/>
            <w:noWrap w:val="false"/>
          </w:tcPr>
          <w:p>
            <w:pPr>
              <w:pStyle w:val="871"/>
              <w:jc w:val="center"/>
              <w:spacing w:before="68" w:line="264" w:lineRule="auto"/>
              <w:rPr>
                <w:rFonts w:hint="eastAsia" w:ascii="宋体" w:hAnsi="宋体" w:cs="宋体"/>
                <w:color w:val="000000"/>
                <w:spacing w:val="-2"/>
                <w:sz w:val="21"/>
                <w:szCs w:val="21"/>
                <w:highlight w:val="none"/>
                <w:lang w:val="en-US" w:eastAsia="zh-CN" w:bidi="ar-SA"/>
              </w:rPr>
            </w:pPr>
            <w:r>
              <w:rPr>
                <w:rFonts w:hint="eastAsia" w:ascii="宋体" w:hAnsi="宋体" w:cs="宋体"/>
                <w:color w:val="000000"/>
                <w:spacing w:val="-2"/>
                <w:highlight w:val="none"/>
              </w:rPr>
              <w:t xml:space="preserve">2.3</w:t>
            </w:r>
            <w:r>
              <w:rPr>
                <w:rFonts w:hint="eastAsia" w:ascii="宋体" w:hAnsi="宋体" w:cs="宋体"/>
                <w:color w:val="000000"/>
                <w:spacing w:val="-2"/>
                <w:sz w:val="21"/>
                <w:szCs w:val="21"/>
                <w:highlight w:val="none"/>
                <w:lang w:val="en-US" w:eastAsia="zh-CN" w:bidi="ar-SA"/>
              </w:rPr>
            </w:r>
            <w:r/>
          </w:p>
        </w:tc>
        <w:tc>
          <w:tcPr>
            <w:tcW w:w="1179" w:type="dxa"/>
            <w:vAlign w:val="center"/>
            <w:textDirection w:val="lrTb"/>
            <w:noWrap w:val="false"/>
          </w:tcPr>
          <w:p>
            <w:pPr>
              <w:pStyle w:val="871"/>
              <w:spacing w:line="264" w:lineRule="auto"/>
              <w:rPr>
                <w:rFonts w:hint="eastAsia" w:ascii="Times New Roman" w:hAnsi="Times New Roman"/>
                <w:color w:val="000000"/>
                <w:sz w:val="21"/>
                <w:szCs w:val="21"/>
                <w:highlight w:val="none"/>
                <w:lang w:val="en-US" w:eastAsia="zh-CN" w:bidi="ar-SA"/>
              </w:rPr>
            </w:pPr>
            <w:r>
              <w:rPr>
                <w:rFonts w:hint="eastAsia"/>
                <w:color w:val="000000"/>
                <w:highlight w:val="none"/>
              </w:rPr>
              <w:t xml:space="preserve">总体技术方案</w:t>
            </w:r>
            <w:r>
              <w:rPr>
                <w:rFonts w:hint="eastAsia" w:ascii="Times New Roman" w:hAnsi="Times New Roman"/>
                <w:color w:val="000000"/>
                <w:sz w:val="21"/>
                <w:szCs w:val="21"/>
                <w:highlight w:val="none"/>
                <w:lang w:val="en-US" w:eastAsia="zh-CN" w:bidi="ar-SA"/>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lang w:val="en-US"/>
              </w:rPr>
              <w:t xml:space="preserve">根据本项目采购需求编制方案，内容包含：</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总体设计</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架构设计</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关键技术描述和说明</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安全解决方案</w:t>
            </w:r>
            <w:r>
              <w:rPr>
                <w:rFonts w:hint="eastAsia" w:ascii="宋体" w:hAnsi="宋体" w:cs="宋体"/>
                <w:color w:val="000000"/>
                <w:highlight w:val="none"/>
              </w:rPr>
              <w:t xml:space="preserve">。</w:t>
            </w:r>
            <w:r>
              <w:rPr>
                <w:rFonts w:hint="eastAsia" w:ascii="宋体" w:hAnsi="宋体" w:cs="宋体"/>
                <w:color w:val="000000"/>
                <w:highlight w:val="none"/>
                <w:lang w:val="en-US" w:bidi="ar-SA"/>
              </w:rPr>
              <w:t xml:space="preserve">以上每项内容逐项评分：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（1）</w:t>
            </w:r>
            <w:r>
              <w:rPr>
                <w:rFonts w:hint="eastAsia" w:ascii="宋体" w:hAnsi="宋体" w:cs="宋体"/>
                <w:color w:val="000000"/>
                <w:highlight w:val="none"/>
              </w:rPr>
              <w:t xml:space="preserve">总体设计</w:t>
            </w:r>
            <w:r>
              <w:rPr>
                <w:rFonts w:hint="eastAsia" w:ascii="宋体" w:hAnsi="宋体" w:cs="宋体"/>
                <w:color w:val="000000"/>
                <w:highlight w:val="none"/>
              </w:rPr>
              <w:t xml:space="preserve">：</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总体设计</w:t>
            </w:r>
            <w:r>
              <w:rPr>
                <w:rFonts w:hint="eastAsia" w:ascii="宋体" w:hAnsi="宋体" w:cs="宋体"/>
                <w:color w:val="000000"/>
                <w:highlight w:val="none"/>
              </w:rPr>
              <w:t xml:space="preserve">科学、具有前瞻性、紧贴采购需求的，得1分；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总体设计</w:t>
            </w:r>
            <w:r>
              <w:rPr>
                <w:rFonts w:hint="eastAsia" w:ascii="宋体" w:hAnsi="宋体" w:cs="宋体"/>
                <w:color w:val="000000"/>
                <w:highlight w:val="none"/>
              </w:rPr>
              <w:t xml:space="preserve">较科学、较有前瞻性、基本符合采购需求的，得0.5分；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未提供或提供的内容完全不符合采购需求的不得分。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w:t>
            </w:r>
            <w:r>
              <w:rPr>
                <w:rFonts w:hint="eastAsia" w:ascii="宋体" w:hAnsi="宋体" w:cs="宋体"/>
                <w:color w:val="000000"/>
                <w:highlight w:val="none"/>
              </w:rPr>
              <w:t xml:space="preserve">2</w:t>
            </w:r>
            <w:r>
              <w:rPr>
                <w:rFonts w:hint="eastAsia" w:ascii="宋体" w:hAnsi="宋体" w:cs="宋体"/>
                <w:color w:val="000000"/>
                <w:highlight w:val="none"/>
              </w:rPr>
              <w:t xml:space="preserve">）架构设计</w:t>
            </w:r>
            <w:r>
              <w:rPr>
                <w:rFonts w:hint="eastAsia" w:ascii="宋体" w:hAnsi="宋体" w:cs="宋体"/>
                <w:color w:val="000000"/>
                <w:highlight w:val="none"/>
              </w:rPr>
              <w:t xml:space="preserve">：</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架构设计</w:t>
            </w:r>
            <w:r>
              <w:rPr>
                <w:rFonts w:hint="eastAsia" w:ascii="宋体" w:hAnsi="宋体" w:cs="宋体"/>
                <w:color w:val="000000"/>
                <w:highlight w:val="none"/>
              </w:rPr>
              <w:t xml:space="preserve">科学、具有前瞻性、紧贴采购需求的，得1分；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架构设计</w:t>
            </w:r>
            <w:r>
              <w:rPr>
                <w:rFonts w:hint="eastAsia" w:ascii="宋体" w:hAnsi="宋体" w:cs="宋体"/>
                <w:color w:val="000000"/>
                <w:highlight w:val="none"/>
              </w:rPr>
              <w:t xml:space="preserve">较科学、较有前瞻性、基本符合采购需求的，得0.5分；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未提供或提供的内容完全不符合采购需求的不得分。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w:t>
            </w:r>
            <w:r>
              <w:rPr>
                <w:rFonts w:hint="eastAsia" w:ascii="宋体" w:hAnsi="宋体" w:cs="宋体"/>
                <w:color w:val="000000"/>
                <w:highlight w:val="none"/>
              </w:rPr>
              <w:t xml:space="preserve">3</w:t>
            </w:r>
            <w:r>
              <w:rPr>
                <w:rFonts w:hint="eastAsia" w:ascii="宋体" w:hAnsi="宋体" w:cs="宋体"/>
                <w:color w:val="000000"/>
                <w:highlight w:val="none"/>
              </w:rPr>
              <w:t xml:space="preserve">）关键技术</w:t>
            </w:r>
            <w:r>
              <w:rPr>
                <w:rFonts w:hint="eastAsia" w:ascii="宋体" w:hAnsi="宋体" w:cs="宋体"/>
                <w:color w:val="000000"/>
                <w:highlight w:val="none"/>
              </w:rPr>
              <w:t xml:space="preserve">描述和说明：</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关键技术</w:t>
            </w:r>
            <w:r>
              <w:rPr>
                <w:rFonts w:hint="eastAsia" w:ascii="宋体" w:hAnsi="宋体" w:cs="宋体"/>
                <w:color w:val="000000"/>
                <w:highlight w:val="none"/>
              </w:rPr>
              <w:t xml:space="preserve">描述和说明内容完整、清晰详细的，得1分；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关键技术</w:t>
            </w:r>
            <w:r>
              <w:rPr>
                <w:rFonts w:hint="eastAsia" w:ascii="宋体" w:hAnsi="宋体" w:cs="宋体"/>
                <w:color w:val="000000"/>
                <w:highlight w:val="none"/>
              </w:rPr>
              <w:t xml:space="preserve">描述和说明内容较完整、清晰较详细的，得0.5分；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未提供或提供的内容完全不符合采购需求的不得分。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）安全解决方案：</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安全解决方案内容完整、清晰详细的，得1分；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安全解决方案内容较完整、清晰较详细的，得0.5分；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未提供或提供的内容完全不符合采购需求的不得分。</w:t>
            </w:r>
            <w:r>
              <w:rPr>
                <w:rFonts w:hint="eastAsia" w:ascii="宋体" w:hAnsi="宋体" w:cs="宋体"/>
                <w:color w:val="000000"/>
                <w:highlight w:val="none"/>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spacing w:val="-4"/>
                <w:highlight w:val="none"/>
              </w:rPr>
              <w:t xml:space="preserve">主观分</w:t>
            </w:r>
            <w:r>
              <w:rPr>
                <w:rFonts w:hint="eastAsia" w:ascii="宋体" w:hAnsi="宋体" w:cs="宋体"/>
                <w:color w:val="000000"/>
                <w:sz w:val="21"/>
                <w:szCs w:val="21"/>
                <w:highlight w:val="none"/>
                <w:lang w:val="en-US" w:eastAsia="zh-CN" w:bidi="ar-SA"/>
              </w:rPr>
            </w:r>
            <w:r/>
          </w:p>
        </w:tc>
      </w:tr>
      <w:tr>
        <w:trPr>
          <w:trHeight w:val="315"/>
        </w:trPr>
        <w:tc>
          <w:tcPr>
            <w:tcW w:w="519" w:type="dxa"/>
            <w:vAlign w:val="center"/>
            <w:textDirection w:val="lrTb"/>
            <w:noWrap w:val="false"/>
          </w:tcPr>
          <w:p>
            <w:pPr>
              <w:pStyle w:val="871"/>
              <w:jc w:val="center"/>
              <w:spacing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rPr>
              <w:t xml:space="preserve">2.4</w:t>
            </w:r>
            <w:r>
              <w:rPr>
                <w:rFonts w:hint="eastAsia" w:ascii="宋体" w:hAnsi="宋体" w:cs="宋体"/>
                <w:color w:val="000000"/>
                <w:sz w:val="21"/>
                <w:szCs w:val="21"/>
                <w:highlight w:val="none"/>
                <w:lang w:val="en-US" w:eastAsia="zh-CN" w:bidi="ar-SA"/>
              </w:rPr>
            </w:r>
            <w:r/>
          </w:p>
        </w:tc>
        <w:tc>
          <w:tcPr>
            <w:tcW w:w="1179" w:type="dxa"/>
            <w:vAlign w:val="center"/>
            <w:textDirection w:val="lrTb"/>
            <w:noWrap w:val="false"/>
          </w:tcPr>
          <w:p>
            <w:pPr>
              <w:pStyle w:val="871"/>
              <w:spacing w:line="264" w:lineRule="auto"/>
              <w:rPr>
                <w:rFonts w:hint="eastAsia" w:ascii="Times New Roman" w:hAnsi="Times New Roman"/>
                <w:color w:val="000000"/>
                <w:sz w:val="21"/>
                <w:szCs w:val="21"/>
                <w:highlight w:val="none"/>
                <w:lang w:val="en-US" w:eastAsia="zh-CN" w:bidi="ar-SA"/>
              </w:rPr>
            </w:pPr>
            <w:r>
              <w:rPr>
                <w:rFonts w:hint="eastAsia"/>
                <w:color w:val="000000"/>
                <w:highlight w:val="none"/>
              </w:rPr>
              <w:t xml:space="preserve">项目实施方案</w:t>
            </w:r>
            <w:r>
              <w:rPr>
                <w:rFonts w:hint="eastAsia" w:ascii="Times New Roman" w:hAnsi="Times New Roman"/>
                <w:color w:val="000000"/>
                <w:sz w:val="21"/>
                <w:szCs w:val="21"/>
                <w:highlight w:val="none"/>
                <w:lang w:val="en-US" w:eastAsia="zh-CN" w:bidi="ar-SA"/>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lang w:val="en-US" w:bidi="ar-SA"/>
              </w:rPr>
              <w:t xml:space="preserve">根据本项目采购需求编制方案，内容包含：</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项目实施</w:t>
            </w:r>
            <w:r>
              <w:rPr>
                <w:rFonts w:hint="eastAsia" w:ascii="宋体" w:hAnsi="宋体" w:cs="宋体"/>
                <w:color w:val="000000"/>
                <w:highlight w:val="none"/>
                <w:lang w:val="en-US" w:eastAsia="zh-CN"/>
              </w:rPr>
              <w:t xml:space="preserve">进度</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调试测试方案</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项目管理方案。</w:t>
            </w:r>
            <w:r>
              <w:rPr>
                <w:rFonts w:hint="eastAsia" w:ascii="宋体" w:hAnsi="宋体" w:cs="宋体"/>
                <w:color w:val="000000"/>
                <w:highlight w:val="none"/>
                <w:lang w:val="en-US" w:bidi="ar-SA"/>
              </w:rPr>
              <w:t xml:space="preserve">以上每项内容逐项评分：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（1）项目实施方案：</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实施方案</w:t>
            </w:r>
            <w:r>
              <w:rPr>
                <w:rFonts w:hint="eastAsia" w:ascii="宋体" w:hAnsi="宋体" w:cs="宋体"/>
                <w:color w:val="000000"/>
                <w:highlight w:val="none"/>
              </w:rPr>
              <w:t xml:space="preserve">完整深刻、可行性强</w:t>
            </w:r>
            <w:r>
              <w:rPr>
                <w:rFonts w:hint="eastAsia" w:ascii="宋体" w:hAnsi="宋体" w:cs="宋体"/>
                <w:color w:val="000000"/>
                <w:highlight w:val="none"/>
              </w:rPr>
              <w:t xml:space="preserve">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实施方案较</w:t>
            </w:r>
            <w:r>
              <w:rPr>
                <w:rFonts w:hint="eastAsia" w:ascii="宋体" w:hAnsi="宋体" w:cs="宋体"/>
                <w:color w:val="000000"/>
                <w:highlight w:val="none"/>
              </w:rPr>
              <w:t xml:space="preserve">完整深刻、可行性</w:t>
            </w:r>
            <w:r>
              <w:rPr>
                <w:rFonts w:hint="eastAsia" w:ascii="宋体" w:hAnsi="宋体" w:cs="宋体"/>
                <w:color w:val="000000"/>
                <w:highlight w:val="none"/>
              </w:rPr>
              <w:t xml:space="preserve">较</w:t>
            </w:r>
            <w:r>
              <w:rPr>
                <w:rFonts w:hint="eastAsia" w:ascii="宋体" w:hAnsi="宋体" w:cs="宋体"/>
                <w:color w:val="000000"/>
                <w:highlight w:val="none"/>
              </w:rPr>
              <w:t xml:space="preserve">强</w:t>
            </w:r>
            <w:r>
              <w:rPr>
                <w:rFonts w:hint="eastAsia" w:ascii="宋体" w:hAnsi="宋体" w:cs="宋体"/>
                <w:color w:val="000000"/>
                <w:highlight w:val="none"/>
              </w:rPr>
              <w:t xml:space="preserve">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w:t>
            </w:r>
            <w:r>
              <w:rPr>
                <w:rFonts w:hint="eastAsia" w:ascii="宋体" w:hAnsi="宋体" w:cs="宋体"/>
                <w:color w:val="000000"/>
                <w:highlight w:val="none"/>
              </w:rPr>
              <w:t xml:space="preserve">的内容完全</w:t>
            </w:r>
            <w:r>
              <w:rPr>
                <w:rFonts w:hint="eastAsia" w:ascii="宋体" w:hAnsi="宋体" w:cs="宋体"/>
                <w:color w:val="000000"/>
                <w:highlight w:val="none"/>
              </w:rPr>
              <w:t xml:space="preserve">不符合采购需求的不得分。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（2）调试测试方案：</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调试测试方案</w:t>
            </w:r>
            <w:r>
              <w:rPr>
                <w:rFonts w:hint="eastAsia" w:ascii="宋体" w:hAnsi="宋体" w:cs="宋体"/>
                <w:color w:val="000000"/>
                <w:highlight w:val="none"/>
              </w:rPr>
              <w:t xml:space="preserve">完整深刻、可行性强</w:t>
            </w:r>
            <w:r>
              <w:rPr>
                <w:rFonts w:hint="eastAsia" w:ascii="宋体" w:hAnsi="宋体" w:cs="宋体"/>
                <w:color w:val="000000"/>
                <w:highlight w:val="none"/>
              </w:rPr>
              <w:t xml:space="preserve">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调试测试方案较</w:t>
            </w:r>
            <w:r>
              <w:rPr>
                <w:rFonts w:hint="eastAsia" w:ascii="宋体" w:hAnsi="宋体" w:cs="宋体"/>
                <w:color w:val="000000"/>
                <w:highlight w:val="none"/>
              </w:rPr>
              <w:t xml:space="preserve">完整深刻、可行性</w:t>
            </w:r>
            <w:r>
              <w:rPr>
                <w:rFonts w:hint="eastAsia" w:ascii="宋体" w:hAnsi="宋体" w:cs="宋体"/>
                <w:color w:val="000000"/>
                <w:highlight w:val="none"/>
              </w:rPr>
              <w:t xml:space="preserve">较</w:t>
            </w:r>
            <w:r>
              <w:rPr>
                <w:rFonts w:hint="eastAsia" w:ascii="宋体" w:hAnsi="宋体" w:cs="宋体"/>
                <w:color w:val="000000"/>
                <w:highlight w:val="none"/>
              </w:rPr>
              <w:t xml:space="preserve">强</w:t>
            </w:r>
            <w:r>
              <w:rPr>
                <w:rFonts w:hint="eastAsia" w:ascii="宋体" w:hAnsi="宋体" w:cs="宋体"/>
                <w:color w:val="000000"/>
                <w:highlight w:val="none"/>
              </w:rPr>
              <w:t xml:space="preserve">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w:t>
            </w:r>
            <w:r>
              <w:rPr>
                <w:rFonts w:hint="eastAsia" w:ascii="宋体" w:hAnsi="宋体" w:cs="宋体"/>
                <w:color w:val="000000"/>
                <w:highlight w:val="none"/>
              </w:rPr>
              <w:t xml:space="preserve">的内容完全</w:t>
            </w:r>
            <w:r>
              <w:rPr>
                <w:rFonts w:hint="eastAsia" w:ascii="宋体" w:hAnsi="宋体" w:cs="宋体"/>
                <w:color w:val="000000"/>
                <w:highlight w:val="none"/>
              </w:rPr>
              <w:t xml:space="preserve">不符合采购需求的不得分。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（3）项目管理方案：</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项目管理方案</w:t>
            </w:r>
            <w:r>
              <w:rPr>
                <w:rFonts w:hint="eastAsia" w:ascii="宋体" w:hAnsi="宋体" w:cs="宋体"/>
                <w:color w:val="000000"/>
                <w:highlight w:val="none"/>
              </w:rPr>
              <w:t xml:space="preserve">完整深刻、可行性强</w:t>
            </w:r>
            <w:r>
              <w:rPr>
                <w:rFonts w:hint="eastAsia" w:ascii="宋体" w:hAnsi="宋体" w:cs="宋体"/>
                <w:color w:val="000000"/>
                <w:highlight w:val="none"/>
              </w:rPr>
              <w:t xml:space="preserve">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项目管理方案较</w:t>
            </w:r>
            <w:r>
              <w:rPr>
                <w:rFonts w:hint="eastAsia" w:ascii="宋体" w:hAnsi="宋体" w:cs="宋体"/>
                <w:color w:val="000000"/>
                <w:highlight w:val="none"/>
              </w:rPr>
              <w:t xml:space="preserve">完整深刻、可行性</w:t>
            </w:r>
            <w:r>
              <w:rPr>
                <w:rFonts w:hint="eastAsia" w:ascii="宋体" w:hAnsi="宋体" w:cs="宋体"/>
                <w:color w:val="000000"/>
                <w:highlight w:val="none"/>
              </w:rPr>
              <w:t xml:space="preserve">较</w:t>
            </w:r>
            <w:r>
              <w:rPr>
                <w:rFonts w:hint="eastAsia" w:ascii="宋体" w:hAnsi="宋体" w:cs="宋体"/>
                <w:color w:val="000000"/>
                <w:highlight w:val="none"/>
              </w:rPr>
              <w:t xml:space="preserve">强</w:t>
            </w:r>
            <w:r>
              <w:rPr>
                <w:rFonts w:hint="eastAsia" w:ascii="宋体" w:hAnsi="宋体" w:cs="宋体"/>
                <w:color w:val="000000"/>
                <w:highlight w:val="none"/>
              </w:rPr>
              <w:t xml:space="preserve">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w:t>
            </w:r>
            <w:r>
              <w:rPr>
                <w:rFonts w:hint="eastAsia" w:ascii="宋体" w:hAnsi="宋体" w:cs="宋体"/>
                <w:color w:val="000000"/>
                <w:highlight w:val="none"/>
              </w:rPr>
              <w:t xml:space="preserve">的内容完全</w:t>
            </w:r>
            <w:r>
              <w:rPr>
                <w:rFonts w:hint="eastAsia" w:ascii="宋体" w:hAnsi="宋体" w:cs="宋体"/>
                <w:color w:val="000000"/>
                <w:highlight w:val="none"/>
              </w:rPr>
              <w:t xml:space="preserve">不符合采购需求的不得分。</w:t>
            </w:r>
            <w:r>
              <w:rPr>
                <w:rFonts w:hint="eastAsia" w:ascii="宋体" w:hAnsi="宋体" w:cs="宋体"/>
                <w:color w:val="000000"/>
                <w:highlight w:val="none"/>
              </w:rPr>
            </w:r>
            <w:r/>
          </w:p>
        </w:tc>
        <w:tc>
          <w:tcPr>
            <w:tcW w:w="647"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rPr>
              <w:t xml:space="preserve">3</w:t>
            </w:r>
            <w:r>
              <w:rPr>
                <w:rFonts w:hint="eastAsia" w:ascii="宋体" w:hAnsi="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pacing w:val="-6"/>
                <w:sz w:val="21"/>
                <w:szCs w:val="21"/>
                <w:highlight w:val="none"/>
                <w:lang w:val="en-US" w:eastAsia="zh-CN" w:bidi="ar-SA"/>
              </w:rPr>
            </w:pPr>
            <w:r>
              <w:rPr>
                <w:rFonts w:hint="eastAsia" w:ascii="宋体" w:hAnsi="宋体" w:cs="宋体"/>
                <w:color w:val="000000"/>
                <w:spacing w:val="-4"/>
                <w:highlight w:val="none"/>
              </w:rPr>
              <w:t xml:space="preserve">主观分</w:t>
            </w:r>
            <w:r>
              <w:rPr>
                <w:rFonts w:hint="eastAsia" w:ascii="宋体" w:hAnsi="宋体" w:cs="宋体"/>
                <w:color w:val="000000"/>
                <w:spacing w:val="-6"/>
                <w:sz w:val="21"/>
                <w:szCs w:val="21"/>
                <w:highlight w:val="none"/>
                <w:lang w:val="en-US" w:eastAsia="zh-CN" w:bidi="ar-SA"/>
              </w:rPr>
            </w:r>
            <w:r/>
          </w:p>
        </w:tc>
      </w:tr>
      <w:tr>
        <w:trPr>
          <w:trHeight w:val="315"/>
        </w:trPr>
        <w:tc>
          <w:tcPr>
            <w:tcW w:w="519" w:type="dxa"/>
            <w:vAlign w:val="center"/>
            <w:textDirection w:val="lrTb"/>
            <w:noWrap w:val="false"/>
          </w:tcPr>
          <w:p>
            <w:pPr>
              <w:pStyle w:val="871"/>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r>
            <w:r/>
          </w:p>
          <w:p>
            <w:pPr>
              <w:pStyle w:val="871"/>
              <w:jc w:val="center"/>
              <w:spacing w:before="68" w:line="264" w:lineRule="auto"/>
              <w:rPr>
                <w:rFonts w:hint="eastAsia" w:ascii="宋体" w:hAnsi="宋体" w:cs="宋体"/>
                <w:color w:val="000000"/>
                <w:spacing w:val="-2"/>
                <w:sz w:val="21"/>
                <w:szCs w:val="21"/>
                <w:highlight w:val="none"/>
                <w:lang w:val="en-US" w:eastAsia="zh-CN" w:bidi="ar-SA"/>
              </w:rPr>
            </w:pPr>
            <w:r>
              <w:rPr>
                <w:rFonts w:hint="eastAsia" w:ascii="宋体" w:hAnsi="宋体" w:cs="宋体"/>
                <w:color w:val="000000"/>
                <w:spacing w:val="-2"/>
                <w:highlight w:val="none"/>
              </w:rPr>
              <w:t xml:space="preserve">2.5</w:t>
            </w:r>
            <w:r>
              <w:rPr>
                <w:rFonts w:hint="eastAsia" w:ascii="宋体" w:hAnsi="宋体" w:cs="宋体"/>
                <w:color w:val="000000"/>
                <w:spacing w:val="-2"/>
                <w:sz w:val="21"/>
                <w:szCs w:val="21"/>
                <w:highlight w:val="none"/>
                <w:lang w:val="en-US" w:eastAsia="zh-CN" w:bidi="ar-SA"/>
              </w:rPr>
            </w:r>
            <w:r/>
          </w:p>
        </w:tc>
        <w:tc>
          <w:tcPr>
            <w:tcW w:w="1179" w:type="dxa"/>
            <w:vAlign w:val="center"/>
            <w:textDirection w:val="lrTb"/>
            <w:noWrap w:val="false"/>
          </w:tcPr>
          <w:p>
            <w:pPr>
              <w:pStyle w:val="871"/>
              <w:spacing w:line="264" w:lineRule="auto"/>
              <w:rPr>
                <w:color w:val="000000"/>
                <w:highlight w:val="none"/>
              </w:rPr>
            </w:pPr>
            <w:r>
              <w:rPr>
                <w:color w:val="000000"/>
                <w:highlight w:val="none"/>
              </w:rPr>
            </w:r>
            <w:r/>
          </w:p>
          <w:p>
            <w:pPr>
              <w:pStyle w:val="871"/>
              <w:spacing w:line="264" w:lineRule="auto"/>
              <w:rPr>
                <w:rFonts w:hint="eastAsia" w:ascii="Times New Roman" w:hAnsi="Times New Roman"/>
                <w:color w:val="000000"/>
                <w:sz w:val="21"/>
                <w:szCs w:val="21"/>
                <w:highlight w:val="none"/>
                <w:lang w:val="en-US" w:eastAsia="zh-CN" w:bidi="ar-SA"/>
              </w:rPr>
            </w:pPr>
            <w:r>
              <w:rPr>
                <w:rFonts w:hint="eastAsia"/>
                <w:color w:val="000000"/>
                <w:highlight w:val="none"/>
              </w:rPr>
              <w:t xml:space="preserve">系统对接方案</w:t>
            </w:r>
            <w:r>
              <w:rPr>
                <w:rFonts w:hint="eastAsia" w:ascii="Times New Roman" w:hAnsi="Times New Roman"/>
                <w:color w:val="000000"/>
                <w:sz w:val="21"/>
                <w:szCs w:val="21"/>
                <w:highlight w:val="none"/>
                <w:lang w:val="en-US" w:eastAsia="zh-CN" w:bidi="ar-SA"/>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lang w:val="en-US" w:bidi="ar-SA"/>
              </w:rPr>
              <w:t xml:space="preserve">根据本项目采购需求编制方案，内容包含：</w:t>
            </w:r>
            <w:r>
              <w:rPr>
                <w:rFonts w:hint="eastAsia" w:ascii="宋体" w:hAnsi="宋体" w:cs="宋体"/>
                <w:color w:val="000000"/>
                <w:highlight w:val="none"/>
              </w:rPr>
              <w:t xml:space="preserve">1.集成接口方案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2.备份与应急预案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3.电子病历七级应对方案。</w:t>
            </w:r>
            <w:r>
              <w:rPr>
                <w:rFonts w:hint="eastAsia" w:ascii="宋体" w:hAnsi="宋体" w:cs="宋体"/>
                <w:color w:val="000000"/>
                <w:highlight w:val="none"/>
                <w:lang w:val="en-US" w:bidi="ar-SA"/>
              </w:rPr>
              <w:t xml:space="preserve">以上每项内容逐项评分：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（1）集成接口方案：</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集成接口方案</w:t>
            </w:r>
            <w:r>
              <w:rPr>
                <w:rFonts w:hint="eastAsia" w:ascii="宋体" w:hAnsi="宋体" w:cs="宋体"/>
                <w:color w:val="000000"/>
                <w:highlight w:val="none"/>
              </w:rPr>
              <w:t xml:space="preserve">内容完整、清晰详细的，得1分；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集成接口方案</w:t>
            </w:r>
            <w:r>
              <w:rPr>
                <w:rFonts w:hint="eastAsia" w:ascii="宋体" w:hAnsi="宋体" w:cs="宋体"/>
                <w:color w:val="000000"/>
                <w:highlight w:val="none"/>
              </w:rPr>
              <w:t xml:space="preserve">内容较完整、清晰较详细的，得0.5分；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w:t>
            </w:r>
            <w:r>
              <w:rPr>
                <w:rFonts w:hint="eastAsia" w:ascii="宋体" w:hAnsi="宋体" w:cs="宋体"/>
                <w:color w:val="000000"/>
                <w:highlight w:val="none"/>
              </w:rPr>
              <w:t xml:space="preserve">的内容完全</w:t>
            </w:r>
            <w:r>
              <w:rPr>
                <w:rFonts w:hint="eastAsia" w:ascii="宋体" w:hAnsi="宋体" w:cs="宋体"/>
                <w:color w:val="000000"/>
                <w:highlight w:val="none"/>
              </w:rPr>
              <w:t xml:space="preserve">不符合采购需求的不得分。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（2）备份与应急预案：</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备份与应急预案内容完整、科学合理的，得1分；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备份与应急预案内容较完整、较科学合理的，得0.5分；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未提供或提供的内容完全不符合采购需求的不得分。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（3）电子病历七级应对方案：</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提供的电子病历七级应对方案有成熟经验、方案可行、清晰详细的，得2分；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提供的电子病历七级应对方案经验欠缺、方案较可行、较清晰详细的，得0.5分；</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未提供或提供的内容完全不符合采购需求的不得分。</w:t>
            </w:r>
            <w:r>
              <w:rPr>
                <w:rFonts w:hint="eastAsia" w:ascii="宋体" w:hAnsi="宋体" w:cs="宋体"/>
                <w:color w:val="000000"/>
                <w:highlight w:val="none"/>
              </w:rPr>
            </w:r>
            <w:r/>
          </w:p>
        </w:tc>
        <w:tc>
          <w:tcPr>
            <w:tcW w:w="647" w:type="dxa"/>
            <w:vAlign w:val="center"/>
            <w:textDirection w:val="lrTb"/>
            <w:noWrap w:val="false"/>
          </w:tcPr>
          <w:p>
            <w:pPr>
              <w:pStyle w:val="871"/>
              <w:jc w:val="center"/>
              <w:spacing w:line="264" w:lineRule="auto"/>
              <w:rPr>
                <w:rFonts w:ascii="宋体" w:hAnsi="宋体" w:cs="宋体"/>
                <w:color w:val="000000"/>
                <w:highlight w:val="none"/>
              </w:rPr>
            </w:pPr>
            <w:r>
              <w:rPr>
                <w:rFonts w:ascii="宋体" w:hAnsi="宋体" w:cs="宋体"/>
                <w:color w:val="000000"/>
                <w:highlight w:val="none"/>
              </w:rPr>
            </w:r>
            <w:r/>
          </w:p>
          <w:p>
            <w:pPr>
              <w:pStyle w:val="871"/>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rPr>
              <w:t xml:space="preserve">主观分</w:t>
            </w:r>
            <w:r>
              <w:rPr>
                <w:rFonts w:hint="eastAsia" w:ascii="宋体" w:hAnsi="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2.6</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视频演示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lang w:val="en-US" w:eastAsia="zh-CN"/>
              </w:rPr>
              <w:t xml:space="preserve">评委根据供应商提供的演示视频（总演示时间不超</w:t>
            </w:r>
            <w:r>
              <w:rPr>
                <w:rFonts w:hint="eastAsia" w:ascii="宋体" w:hAnsi="宋体" w:cs="宋体"/>
                <w:color w:val="000000"/>
                <w:highlight w:val="none"/>
                <w:lang w:val="en-US" w:eastAsia="zh-CN"/>
              </w:rPr>
              <w:t xml:space="preserve">过15分</w:t>
            </w:r>
            <w:r>
              <w:rPr>
                <w:rFonts w:hint="eastAsia" w:ascii="宋体" w:hAnsi="宋体" w:cs="宋体"/>
                <w:color w:val="000000"/>
                <w:highlight w:val="none"/>
                <w:lang w:val="en-US" w:eastAsia="zh-CN"/>
              </w:rPr>
              <w:t xml:space="preserve">钟）综合评分。演示视频包括以下内容： </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（1）支持监管患者诊疗进度，收录患者从入院到出院各阶段的诊疗数据集中展示。</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2）《脊髓损伤神经功能评估》满足【脊髓损伤神经学分类国际标准（ISNCSCI)】，支持键盘与触屏（平板）输入分数，自主选择向下复制值功能，根据感觉和运动评分实时在检查图上以不同颜色区分，可视化显示损伤水平。</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（3）具备业务数据整合功能，支持对绩效管理、经营管理、资源管理、医疗质量等4个方面进行组合统一展示。</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（4）具备治疗预约功能，实现患者按不同时段进行治疗项目预约功能。并具备患者院外排程查询功能，实现患者院外自助查询医院内(门诊)项目的治疗排班排程情况。</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（5）在患者微服务中实现院外患者家人管理功能：支持切换就诊人、添加家人姓名、身份证、认证方式等基本信息。</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（6）总览病种评估表：包括慢性肌骨4张（颈椎、肩关节、腰椎关节、下肢）、骨科术后5张、卒中1张。</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7）支持颈椎、头面康复评估记录，并基于评估结果进行计算机辅助诊断运算，在偏头痛、从集性头痛、张力性头痛(胸锁乳突肌、夹肌)、神经根型颈椎病、胸廓出口综合征(斜角肌、胸小肌、锁骨下)、椎体活动度过小、上交叉、上斜方肌综合征多种临床问题进行鉴别与计算，并依据最后选择诊断推荐相应治疗方案与具体的治疗项目。</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8）支持卒中康复治疗评估记录，并基于评估记录在前动脉综合征、后动脉综合征周围型、后动脉综合征中央型、中动脉综合征多种卒中诊断分型上进行计算与判别，并能对多种卒中常见功能障碍进行计算与判断，选择诊断结果后会基于诊断推荐相关治疗方案与项目。</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（9）介绍诊断分类：从慢性肌骨、骨科术后中各选择一个病种、加上卒中共三个，依次展示基础设置中的“诊断管理”，如：肩关节的各类别的精细化诊断。</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（10）完整的评估及辅助诊断、方案演示：拿其中一个评估表完整演示，如肩关节。</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lang w:val="en-US" w:eastAsia="zh-CN"/>
              </w:rPr>
              <w:t xml:space="preserve">采用类似真实系统演示，每小项功能完整准确演示</w:t>
            </w:r>
            <w:r>
              <w:rPr>
                <w:rFonts w:hint="eastAsia" w:ascii="宋体" w:hAnsi="宋体" w:cs="宋体"/>
                <w:color w:val="000000"/>
                <w:highlight w:val="none"/>
                <w:lang w:val="en-US" w:eastAsia="zh-CN"/>
              </w:rPr>
              <w:t xml:space="preserve">得1.5分</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功能一般或基本满足得0.5分；不演示或不满足不得分。</w:t>
            </w:r>
            <w:bookmarkStart w:id="195" w:name="OLE_LINK2"/>
            <w:r>
              <w:rPr>
                <w:rFonts w:hint="eastAsia" w:ascii="宋体" w:hAnsi="宋体" w:cs="宋体"/>
                <w:color w:val="000000"/>
                <w:highlight w:val="none"/>
              </w:rPr>
              <w:t xml:space="preserve">最多</w:t>
            </w:r>
            <w:r>
              <w:rPr>
                <w:rFonts w:hint="eastAsia" w:ascii="宋体" w:hAnsi="宋体" w:cs="宋体"/>
                <w:color w:val="000000"/>
                <w:highlight w:val="none"/>
              </w:rPr>
              <w:t xml:space="preserve">得15分</w:t>
            </w:r>
            <w:bookmarkEnd w:id="195"/>
            <w:r>
              <w:rPr>
                <w:rFonts w:hint="eastAsia" w:ascii="宋体" w:hAnsi="宋体" w:cs="宋体"/>
                <w:color w:val="000000"/>
                <w:highlight w:val="none"/>
                <w:lang w:eastAsia="zh-CN"/>
              </w:rPr>
              <w:t xml:space="preserve">。</w:t>
            </w:r>
            <w:r>
              <w:rPr>
                <w:rFonts w:hint="eastAsia" w:ascii="宋体" w:hAnsi="宋体" w:cs="宋体"/>
                <w:color w:val="000000"/>
                <w:highlight w:val="none"/>
              </w:rPr>
            </w:r>
            <w:r/>
          </w:p>
          <w:p>
            <w:pPr>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采用系统原型（DEMO）、PPT等非真实系统演示的，上述对应得分减半</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最多</w:t>
            </w:r>
            <w:r>
              <w:rPr>
                <w:rFonts w:hint="eastAsia" w:ascii="宋体" w:hAnsi="宋体" w:cs="宋体"/>
                <w:color w:val="000000"/>
                <w:highlight w:val="none"/>
              </w:rPr>
              <w:t xml:space="preserve">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5分</w:t>
            </w:r>
            <w:r>
              <w:rPr>
                <w:rFonts w:hint="eastAsia" w:ascii="宋体" w:hAnsi="宋体" w:cs="宋体"/>
                <w:color w:val="000000"/>
                <w:highlight w:val="none"/>
              </w:rPr>
              <w:t xml:space="preserve">；未提供视频文件或因供应商自身原因视频文件无法打开或视频画面不清晰无法辨认的不得分。</w:t>
            </w:r>
            <w:r>
              <w:rPr>
                <w:rFonts w:hint="eastAsia" w:ascii="宋体" w:hAnsi="宋体" w:cs="宋体"/>
                <w:color w:val="000000"/>
                <w:highlight w:val="none"/>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8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1"/>
              <w:jc w:val="center"/>
              <w:spacing w:before="68" w:line="264" w:lineRule="auto"/>
              <w:rPr>
                <w:rFonts w:ascii="宋体" w:hAnsi="宋体" w:eastAsia="宋体" w:cs="宋体"/>
                <w:color w:val="000000"/>
                <w:spacing w:val="-2"/>
                <w:sz w:val="21"/>
                <w:szCs w:val="21"/>
                <w:highlight w:val="none"/>
                <w:lang w:val="en-US" w:eastAsia="zh-CN"/>
              </w:rPr>
            </w:pPr>
            <w:r>
              <w:rPr>
                <w:rFonts w:hint="eastAsia" w:ascii="宋体" w:hAnsi="宋体" w:cs="宋体"/>
                <w:color w:val="000000"/>
                <w:spacing w:val="-2"/>
                <w:highlight w:val="none"/>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spacing w:line="264" w:lineRule="auto"/>
              <w:rPr>
                <w:rFonts w:hint="eastAsia" w:ascii="Times New Roman" w:hAnsi="Times New Roman" w:eastAsia="宋体" w:cs="Times New Roman"/>
                <w:color w:val="000000"/>
                <w:spacing w:val="0"/>
                <w:sz w:val="21"/>
                <w:szCs w:val="21"/>
                <w:highlight w:val="none"/>
                <w:lang w:val="en-US" w:eastAsia="zh-CN"/>
              </w:rPr>
            </w:pPr>
            <w:r>
              <w:rPr>
                <w:rFonts w:hint="eastAsia"/>
                <w:color w:val="000000"/>
                <w:highlight w:val="none"/>
              </w:rPr>
              <w:t xml:space="preserve">维保服务方案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bidi="ar-SA"/>
              </w:rPr>
              <w:t xml:space="preserve">根据本项目采购需求编制方案，内容包含：</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en-US" w:eastAsia="zh-CN"/>
              </w:rPr>
              <w:t xml:space="preserve">服务保障体系</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en-US" w:eastAsia="zh-CN"/>
              </w:rPr>
              <w:t xml:space="preserve">服务内容</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t xml:space="preserve">故障解决方案</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bidi="ar-SA"/>
              </w:rPr>
              <w:t xml:space="preserve">以上每项内容逐项评分：</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en-US" w:eastAsia="zh-CN"/>
              </w:rPr>
              <w:t xml:space="preserve">）服务保障体系：</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服务保障体系措施全面完整的，得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en-US" w:eastAsia="zh-CN"/>
              </w:rPr>
              <w:t xml:space="preserve">分；</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服务保障体系措施较全面完整的，得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en-US" w:eastAsia="zh-CN"/>
              </w:rPr>
              <w:t xml:space="preserve">分；</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未提供或提供的内容完全不符合采购需求的不得分。</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（2）服务内容：</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服务内容全面完整的，得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en-US" w:eastAsia="zh-CN"/>
              </w:rPr>
              <w:t xml:space="preserve">分；</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服务内容较全面完整的，得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en-US" w:eastAsia="zh-CN"/>
              </w:rPr>
              <w:t xml:space="preserve">分；</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未提供或提供的内容完全不符合采购需求的不得分。</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（3）故障解决方案：</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故障解决措施全面完整的，得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en-US" w:eastAsia="zh-CN"/>
              </w:rPr>
              <w:t xml:space="preserve">分；</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故障解决措施较全面完整的，得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en-US" w:eastAsia="zh-CN"/>
              </w:rPr>
              <w:t xml:space="preserve">分；</w:t>
            </w:r>
            <w:r>
              <w:rPr>
                <w:rFonts w:hint="eastAsia" w:ascii="宋体" w:hAnsi="宋体" w:cs="宋体"/>
                <w:color w:val="000000"/>
                <w:highlight w:val="none"/>
                <w:lang w:val="en-US" w:eastAsia="zh-CN"/>
              </w:rPr>
            </w:r>
            <w:r/>
          </w:p>
          <w:p>
            <w:pPr>
              <w:jc w:val="left"/>
              <w:spacing w:line="264" w:lineRule="auto"/>
              <w:widowControl/>
              <w:rPr>
                <w:rFonts w:hint="eastAsia" w:ascii="宋体" w:hAnsi="宋体" w:cs="宋体"/>
                <w:color w:val="000000"/>
                <w:highlight w:val="none"/>
                <w:lang w:val="en-US" w:eastAsia="zh-CN"/>
                <w14:ligatures w14:val="none"/>
              </w:rPr>
            </w:pPr>
            <w:r>
              <w:rPr>
                <w:rFonts w:hint="eastAsia" w:ascii="宋体" w:hAnsi="宋体" w:cs="宋体"/>
                <w:color w:val="000000"/>
                <w:highlight w:val="none"/>
                <w:lang w:val="en-US" w:eastAsia="zh-CN"/>
              </w:rPr>
              <w:t xml:space="preserve">未提供或提供的内容完全不符合采购需求的不得分。</w:t>
            </w:r>
            <w:r>
              <w:rPr>
                <w:rFonts w:hint="eastAsia" w:ascii="宋体" w:hAnsi="宋体" w:cs="宋体"/>
                <w:color w:val="000000"/>
                <w:highlight w:val="none"/>
                <w:lang w:val="en-US" w:eastAsia="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ascii="宋体" w:hAnsi="宋体" w:eastAsia="宋体" w:cs="宋体"/>
                <w:color w:val="000000"/>
                <w:spacing w:val="-6"/>
                <w:sz w:val="21"/>
                <w:szCs w:val="21"/>
                <w:highlight w:val="none"/>
                <w:lang w:val="en-US" w:eastAsia="zh-CN"/>
              </w:rPr>
            </w:pPr>
            <w:r>
              <w:rPr>
                <w:rFonts w:ascii="宋体" w:hAnsi="宋体" w:cs="宋体"/>
                <w:color w:val="000000"/>
                <w:spacing w:val="-6"/>
                <w:highlight w:val="none"/>
              </w:rPr>
              <w:t xml:space="preserve">主观分</w:t>
            </w:r>
            <w:r>
              <w:rPr>
                <w:rFonts w:ascii="宋体" w:hAnsi="宋体" w:eastAsia="宋体" w:cs="宋体"/>
                <w:color w:val="000000"/>
                <w:spacing w:val="-6"/>
                <w:sz w:val="21"/>
                <w:szCs w:val="21"/>
                <w:highlight w:val="none"/>
                <w:lang w:val="en-US"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80" w:lineRule="exact"/>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项目实施团队能力：</w:t>
            </w:r>
            <w:r>
              <w:rPr>
                <w:rFonts w:hint="eastAsia" w:ascii="宋体" w:hAnsi="宋体" w:cs="宋体"/>
                <w:color w:val="000000"/>
                <w:highlight w:val="none"/>
                <w:lang w:val="en-US" w:eastAsia="zh-CN" w:bidi="ar-SA"/>
              </w:rPr>
            </w:r>
            <w:r/>
          </w:p>
          <w:p>
            <w:pPr>
              <w:jc w:val="left"/>
              <w:spacing w:line="264" w:lineRule="auto"/>
              <w:widowControl/>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①</w:t>
            </w:r>
            <w:r>
              <w:rPr>
                <w:rFonts w:hint="eastAsia" w:ascii="宋体" w:hAnsi="宋体" w:cs="宋体"/>
                <w:color w:val="000000"/>
                <w:highlight w:val="none"/>
                <w:lang w:val="en-US" w:eastAsia="zh-CN" w:bidi="ar-SA"/>
              </w:rPr>
              <w:t xml:space="preserve">团队成员具有</w:t>
            </w:r>
            <w:r>
              <w:rPr>
                <w:rFonts w:hint="eastAsia" w:ascii="宋体" w:hAnsi="宋体" w:cs="宋体"/>
                <w:color w:val="000000"/>
                <w:highlight w:val="none"/>
                <w:lang w:val="en-US" w:eastAsia="zh-CN" w:bidi="ar-SA"/>
              </w:rPr>
              <w:t xml:space="preserve">工业和信息化部教育与考试中心</w:t>
            </w:r>
            <w:r>
              <w:rPr>
                <w:rFonts w:hint="eastAsia" w:ascii="宋体" w:hAnsi="宋体" w:cs="宋体"/>
                <w:color w:val="000000"/>
                <w:highlight w:val="none"/>
                <w:lang w:val="en-US" w:eastAsia="zh-CN" w:bidi="ar-SA"/>
              </w:rPr>
              <w:t xml:space="preserve">颁发的（</w:t>
            </w:r>
            <w:r>
              <w:rPr>
                <w:rFonts w:hint="eastAsia" w:ascii="宋体" w:hAnsi="宋体" w:cs="宋体"/>
                <w:color w:val="000000"/>
                <w:highlight w:val="none"/>
                <w:lang w:val="en-US" w:eastAsia="zh-CN" w:bidi="ar-SA"/>
              </w:rPr>
              <w:t xml:space="preserve">高</w:t>
            </w:r>
            <w:r>
              <w:rPr>
                <w:rFonts w:hint="eastAsia" w:ascii="宋体" w:hAnsi="宋体" w:cs="宋体"/>
                <w:color w:val="000000"/>
                <w:highlight w:val="none"/>
                <w:lang w:val="en-US" w:eastAsia="zh-CN" w:bidi="ar-SA"/>
              </w:rPr>
              <w:t xml:space="preserve">级数据库管理工程师证书</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高级软件设计工程师证书</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人力资源和社会保障部</w:t>
            </w:r>
            <w:r>
              <w:rPr>
                <w:rFonts w:hint="eastAsia" w:ascii="宋体" w:hAnsi="宋体" w:cs="宋体"/>
                <w:color w:val="000000"/>
                <w:highlight w:val="none"/>
                <w:lang w:val="en-US" w:eastAsia="zh-CN" w:bidi="ar-SA"/>
              </w:rPr>
              <w:t xml:space="preserve">与</w:t>
            </w:r>
            <w:r>
              <w:rPr>
                <w:rFonts w:hint="eastAsia" w:ascii="宋体" w:hAnsi="宋体" w:cs="宋体"/>
                <w:color w:val="000000"/>
                <w:highlight w:val="none"/>
                <w:lang w:val="en-US" w:eastAsia="zh-CN" w:bidi="ar-SA"/>
              </w:rPr>
              <w:t xml:space="preserve">工业和信息化部</w:t>
            </w:r>
            <w:r>
              <w:rPr>
                <w:rFonts w:hint="eastAsia" w:ascii="宋体" w:hAnsi="宋体" w:cs="宋体"/>
                <w:color w:val="000000"/>
                <w:highlight w:val="none"/>
                <w:lang w:val="en-US" w:eastAsia="zh-CN" w:bidi="ar-SA"/>
              </w:rPr>
              <w:t xml:space="preserve">颁发的</w:t>
            </w:r>
            <w:r>
              <w:rPr>
                <w:rFonts w:hint="eastAsia" w:ascii="宋体" w:hAnsi="宋体" w:cs="宋体"/>
                <w:color w:val="000000"/>
                <w:highlight w:val="none"/>
                <w:lang w:val="en-US" w:eastAsia="zh-CN" w:bidi="ar-SA"/>
              </w:rPr>
              <w:t xml:space="preserve">网</w:t>
            </w:r>
            <w:r>
              <w:rPr>
                <w:rFonts w:hint="eastAsia" w:ascii="宋体" w:hAnsi="宋体" w:cs="宋体"/>
                <w:color w:val="000000"/>
                <w:highlight w:val="none"/>
                <w:lang w:val="en-US" w:eastAsia="zh-CN" w:bidi="ar-SA"/>
              </w:rPr>
              <w:t xml:space="preserve">络工程师证书，每提供1个证书得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分，最高得</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r>
            <w:r/>
          </w:p>
          <w:p>
            <w:pPr>
              <w:jc w:val="left"/>
              <w:spacing w:line="264" w:lineRule="auto"/>
              <w:widowControl/>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（多人一证、一人多证不重复计分，提供团队成员证书</w:t>
            </w:r>
            <w:r>
              <w:rPr>
                <w:rFonts w:hint="eastAsia" w:ascii="宋体" w:hAnsi="宋体" w:cs="宋体"/>
                <w:color w:val="000000"/>
                <w:highlight w:val="none"/>
                <w:lang w:val="en-US" w:eastAsia="zh-CN" w:bidi="ar-SA"/>
              </w:rPr>
              <w:t xml:space="preserve">以及</w:t>
            </w:r>
            <w:r>
              <w:rPr>
                <w:rFonts w:hint="eastAsia" w:ascii="宋体" w:hAnsi="宋体" w:cs="宋体"/>
                <w:color w:val="000000"/>
                <w:highlight w:val="none"/>
                <w:lang w:val="en-US" w:eastAsia="zh-CN" w:bidi="ar-SA"/>
              </w:rPr>
              <w:t xml:space="preserve">投标人为其缴纳的2026年1月以来任意一个月的社保证明材料，缺一不可）</w:t>
            </w:r>
            <w:r>
              <w:rPr>
                <w:rFonts w:hint="eastAsia" w:ascii="宋体" w:hAnsi="宋体" w:cs="宋体"/>
                <w:color w:val="000000"/>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投标人提供</w:t>
            </w:r>
            <w:r>
              <w:rPr>
                <w:rFonts w:hint="eastAsia" w:ascii="宋体" w:hAnsi="宋体" w:cs="宋体"/>
                <w:color w:val="000000"/>
                <w:highlight w:val="none"/>
                <w:lang w:val="en-US" w:eastAsia="zh-CN" w:bidi="ar-SA"/>
              </w:rPr>
              <w:t xml:space="preserve">类似</w:t>
            </w:r>
            <w:r>
              <w:rPr>
                <w:rFonts w:hint="eastAsia" w:ascii="宋体" w:hAnsi="宋体" w:cs="宋体"/>
                <w:color w:val="000000"/>
                <w:highlight w:val="none"/>
                <w:lang w:val="en-US" w:eastAsia="zh-CN" w:bidi="ar-SA"/>
              </w:rPr>
              <w:t xml:space="preserve">数字化信息管理系统成功实施案例进行评分：</w:t>
            </w:r>
            <w:r>
              <w:rPr>
                <w:rFonts w:hint="eastAsia" w:ascii="宋体" w:hAnsi="宋体" w:cs="宋体"/>
                <w:color w:val="000000"/>
                <w:highlight w:val="none"/>
                <w:lang w:val="en-US" w:eastAsia="zh-CN" w:bidi="ar-SA"/>
              </w:rPr>
            </w:r>
            <w:r/>
          </w:p>
          <w:p>
            <w:pPr>
              <w:jc w:val="left"/>
              <w:spacing w:line="264" w:lineRule="auto"/>
              <w:widowControl/>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具有类似本项目数字化信息管理系统成功案例且</w:t>
            </w:r>
            <w:r>
              <w:rPr>
                <w:rFonts w:hint="eastAsia" w:ascii="宋体" w:hAnsi="宋体" w:cs="宋体"/>
                <w:color w:val="000000"/>
                <w:highlight w:val="none"/>
                <w:lang w:val="en-US" w:eastAsia="zh-CN" w:bidi="ar-SA"/>
              </w:rPr>
              <w:t xml:space="preserve">案例</w:t>
            </w:r>
            <w:r>
              <w:rPr>
                <w:rFonts w:hint="eastAsia" w:ascii="宋体" w:hAnsi="宋体" w:cs="宋体"/>
                <w:color w:val="000000"/>
                <w:highlight w:val="none"/>
                <w:lang w:val="en-US" w:eastAsia="zh-CN" w:bidi="ar-SA"/>
              </w:rPr>
              <w:t xml:space="preserve">通过国家电子病历系统功能应用水平评价6级及以上</w:t>
            </w:r>
            <w:r>
              <w:rPr>
                <w:rFonts w:hint="eastAsia" w:ascii="宋体" w:hAnsi="宋体" w:cs="宋体"/>
                <w:color w:val="000000"/>
                <w:highlight w:val="none"/>
                <w:lang w:val="en-US" w:eastAsia="zh-CN" w:bidi="ar-SA"/>
              </w:rPr>
              <w:t xml:space="preserve">的</w:t>
            </w:r>
            <w:r>
              <w:rPr>
                <w:rFonts w:hint="eastAsia" w:ascii="宋体" w:hAnsi="宋体" w:cs="宋体"/>
                <w:color w:val="000000"/>
                <w:highlight w:val="none"/>
                <w:lang w:val="en-US" w:eastAsia="zh-CN" w:bidi="ar-SA"/>
              </w:rPr>
              <w:t xml:space="preserve">，每</w:t>
            </w:r>
            <w:r>
              <w:rPr>
                <w:rFonts w:hint="eastAsia" w:ascii="宋体" w:hAnsi="宋体" w:cs="宋体"/>
                <w:color w:val="000000"/>
                <w:highlight w:val="none"/>
                <w:lang w:val="en-US" w:eastAsia="zh-CN" w:bidi="ar-SA"/>
              </w:rPr>
              <w:t xml:space="preserve">提供1</w:t>
            </w:r>
            <w:r>
              <w:rPr>
                <w:rFonts w:hint="eastAsia" w:ascii="宋体" w:hAnsi="宋体" w:cs="宋体"/>
                <w:color w:val="000000"/>
                <w:highlight w:val="none"/>
                <w:lang w:val="en-US" w:eastAsia="zh-CN" w:bidi="ar-SA"/>
              </w:rPr>
              <w:t xml:space="preserve">个案例得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分，本项最多得</w:t>
            </w:r>
            <w:r>
              <w:rPr>
                <w:rFonts w:hint="eastAsia" w:ascii="宋体" w:hAnsi="宋体" w:cs="宋体"/>
                <w:color w:val="000000"/>
                <w:highlight w:val="none"/>
                <w:lang w:val="en-US" w:eastAsia="zh-CN" w:bidi="ar-SA"/>
              </w:rPr>
              <w:t xml:space="preserve">6</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r>
            <w:r/>
          </w:p>
          <w:p>
            <w:pPr>
              <w:jc w:val="left"/>
              <w:spacing w:line="264" w:lineRule="auto"/>
              <w:widowControl/>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时间以合同签订时间为准，</w:t>
            </w:r>
            <w:r>
              <w:rPr>
                <w:rFonts w:hint="eastAsia" w:ascii="宋体" w:hAnsi="宋体" w:cs="宋体"/>
                <w:color w:val="000000"/>
                <w:highlight w:val="none"/>
                <w:lang w:val="en-US" w:eastAsia="zh-CN" w:bidi="ar-SA"/>
              </w:rPr>
              <w:t xml:space="preserve">提供有效合同，合同</w:t>
            </w:r>
            <w:r>
              <w:rPr>
                <w:rFonts w:hint="eastAsia" w:ascii="宋体" w:hAnsi="宋体" w:cs="宋体"/>
                <w:color w:val="000000"/>
                <w:highlight w:val="none"/>
                <w:lang w:val="en-US" w:eastAsia="zh-CN" w:bidi="ar-SA"/>
              </w:rPr>
              <w:t xml:space="preserve">页</w:t>
            </w:r>
            <w:r>
              <w:rPr>
                <w:rFonts w:hint="eastAsia" w:ascii="宋体" w:hAnsi="宋体" w:cs="宋体"/>
                <w:color w:val="000000"/>
                <w:highlight w:val="none"/>
                <w:lang w:val="en-US" w:eastAsia="zh-CN" w:bidi="ar-SA"/>
              </w:rPr>
              <w:t xml:space="preserve">须清晰可见相应内容</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投标人具有本项目相关的软件著作权证书，包括</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康复质控类、康复电子文书类、康复物联网平台、康复智能辅助诊断与治疗系统</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等，每提供1个证书得</w:t>
            </w:r>
            <w:r>
              <w:rPr>
                <w:rFonts w:hint="eastAsia" w:ascii="宋体" w:hAnsi="宋体" w:cs="宋体"/>
                <w:color w:val="000000"/>
                <w:highlight w:val="none"/>
                <w:lang w:val="en-US" w:eastAsia="zh-CN" w:bidi="ar-SA"/>
              </w:rPr>
              <w:t xml:space="preserve">0.5</w:t>
            </w:r>
            <w:r>
              <w:rPr>
                <w:rFonts w:hint="eastAsia" w:ascii="宋体" w:hAnsi="宋体" w:cs="宋体"/>
                <w:color w:val="000000"/>
                <w:highlight w:val="none"/>
                <w:lang w:val="en-US" w:eastAsia="zh-CN" w:bidi="ar-SA"/>
              </w:rPr>
              <w:t xml:space="preserve">分。 </w:t>
            </w:r>
            <w:r>
              <w:rPr>
                <w:rFonts w:hint="eastAsia" w:ascii="宋体" w:hAnsi="宋体" w:cs="宋体"/>
                <w:color w:val="000000"/>
                <w:highlight w:val="none"/>
                <w:lang w:val="en-US" w:eastAsia="zh-CN" w:bidi="ar-SA"/>
              </w:rPr>
            </w:r>
            <w:r/>
          </w:p>
          <w:p>
            <w:pPr>
              <w:jc w:val="left"/>
              <w:spacing w:line="264" w:lineRule="auto"/>
              <w:widowControl/>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（所提供证书</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软件名称</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与评分细则规定不同时，应提供符合上述要求的内容（功能）说明及关键信息，否则不予认可。）</w:t>
            </w:r>
            <w:r>
              <w:rPr>
                <w:rFonts w:hint="eastAsia" w:ascii="宋体" w:hAnsi="宋体" w:cs="宋体"/>
                <w:color w:val="000000"/>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31"/>
        </w:trPr>
        <w:tc>
          <w:tcPr>
            <w:gridSpan w:val="5"/>
            <w:tcW w:w="9575" w:type="dxa"/>
            <w:vAlign w:val="center"/>
            <w:textDirection w:val="lrTb"/>
            <w:noWrap w:val="false"/>
          </w:tcPr>
          <w:p>
            <w:pPr>
              <w:pStyle w:val="871"/>
              <w:jc w:val="both"/>
              <w:keepLines w:val="0"/>
              <w:keepNext w:val="0"/>
              <w:pageBreakBefore w:val="0"/>
              <w:spacing w:before="68" w:line="280" w:lineRule="exact"/>
              <w:widowControl w:val="off"/>
              <w:rPr>
                <w:rFonts w:hint="eastAsia" w:ascii="宋体" w:hAnsi="宋体" w:eastAsia="宋体" w:cs="宋体"/>
                <w:color w:val="000000"/>
                <w:spacing w:val="-6"/>
                <w:sz w:val="21"/>
                <w:szCs w:val="21"/>
                <w:highlight w:val="none"/>
              </w:rPr>
            </w:pPr>
            <w:r>
              <w:rPr>
                <w:rFonts w:hint="eastAsia" w:ascii="宋体" w:hAnsi="宋体" w:eastAsia="宋体" w:cs="宋体"/>
                <w:b/>
                <w:bCs/>
                <w:color w:val="000000"/>
                <w:spacing w:val="-3"/>
                <w:sz w:val="21"/>
                <w:szCs w:val="21"/>
                <w:highlight w:val="none"/>
                <w:lang w:val="en-US" w:eastAsia="zh-CN"/>
              </w:rPr>
              <w:t xml:space="preserve">5.节能环保</w:t>
            </w:r>
            <w:r>
              <w:rPr>
                <w:rFonts w:hint="eastAsia" w:ascii="宋体" w:hAnsi="宋体" w:eastAsia="宋体" w:cs="宋体"/>
                <w:color w:val="000000"/>
                <w:spacing w:val="-6"/>
                <w:sz w:val="21"/>
                <w:szCs w:val="21"/>
                <w:highlight w:val="none"/>
              </w:rPr>
            </w:r>
            <w:r/>
          </w:p>
        </w:tc>
      </w:tr>
      <w:tr>
        <w:trPr>
          <w:trHeight w:val="676"/>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5.1</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val="en-US" w:eastAsia="zh-CN"/>
              </w:rPr>
              <w:t xml:space="preserve">节能环保</w:t>
            </w:r>
            <w:r>
              <w:rPr>
                <w:rFonts w:hint="eastAsia" w:ascii="宋体" w:hAnsi="宋体" w:eastAsia="宋体" w:cs="宋体"/>
                <w:color w:val="000000"/>
                <w:spacing w:val="-1"/>
                <w:sz w:val="21"/>
                <w:szCs w:val="21"/>
                <w:highlight w:val="none"/>
                <w:lang w:val="en-US" w:eastAsia="zh-CN" w:bidi="ar-SA"/>
              </w:rPr>
            </w:r>
            <w:r/>
          </w:p>
        </w:tc>
        <w:tc>
          <w:tcPr>
            <w:tcW w:w="6330" w:type="dxa"/>
            <w:vAlign w:val="center"/>
            <w:textDirection w:val="lrTb"/>
            <w:noWrap w:val="false"/>
          </w:tcPr>
          <w:p>
            <w:pPr>
              <w:jc w:val="left"/>
              <w:spacing w:line="264" w:lineRule="auto"/>
              <w:widowControl/>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1.投标产品属于财政部、国家发改委公布的《节能产品政府采购品目清单》（财库〔2019〕19号）范围内</w:t>
            </w:r>
            <w:r>
              <w:rPr>
                <w:rFonts w:hint="eastAsia" w:ascii="宋体" w:hAnsi="宋体" w:cs="宋体"/>
                <w:color w:val="000000"/>
                <w:highlight w:val="none"/>
                <w:lang w:val="en-US" w:eastAsia="zh-CN" w:bidi="ar-SA"/>
              </w:rPr>
              <w:t xml:space="preserve">（政府强制采购产品除外）</w:t>
            </w:r>
            <w:r>
              <w:rPr>
                <w:rFonts w:hint="eastAsia" w:ascii="宋体" w:hAnsi="宋体" w:cs="宋体"/>
                <w:color w:val="000000"/>
                <w:highlight w:val="none"/>
                <w:lang w:val="en-US" w:eastAsia="zh-CN" w:bidi="ar-SA"/>
              </w:rPr>
              <w:t xml:space="preserve">的，投标人提供国家确定的认证机构出具的、处于有效期之内的该节能产品认证证书的，有1个得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分，最多得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r>
            <w:r/>
          </w:p>
          <w:p>
            <w:pPr>
              <w:jc w:val="left"/>
              <w:spacing w:line="264" w:lineRule="auto"/>
              <w:widowControl/>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2.投标产品属于财政部、生态环境部公布的</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环境标志产品品目清单</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（财库〔2019〕1</w:t>
            </w:r>
            <w:r>
              <w:rPr>
                <w:rFonts w:hint="eastAsia" w:ascii="宋体" w:hAnsi="宋体" w:cs="宋体"/>
                <w:color w:val="000000"/>
                <w:highlight w:val="none"/>
                <w:lang w:val="en-US" w:eastAsia="zh-CN" w:bidi="ar-SA"/>
              </w:rPr>
              <w:t xml:space="preserve">8</w:t>
            </w:r>
            <w:r>
              <w:rPr>
                <w:rFonts w:hint="eastAsia" w:ascii="宋体" w:hAnsi="宋体" w:cs="宋体"/>
                <w:color w:val="000000"/>
                <w:highlight w:val="none"/>
                <w:lang w:val="en-US" w:eastAsia="zh-CN" w:bidi="ar-SA"/>
              </w:rPr>
              <w:t xml:space="preserve">号）范围内的，投标人提供国家确定的认证机构出具的、处于有效期内的该环境标志产品认证证书的，有1个得0.5分，最多得1分。</w:t>
            </w:r>
            <w:r>
              <w:rPr>
                <w:rFonts w:hint="eastAsia" w:ascii="宋体" w:hAnsi="宋体" w:cs="宋体"/>
                <w:color w:val="000000"/>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1"/>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1"/>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1"/>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1"/>
        <w:jc w:val="center"/>
        <w:rPr>
          <w:rFonts w:hint="eastAsia" w:ascii="宋体" w:hAnsi="宋体"/>
          <w:b/>
          <w:color w:val="000000"/>
          <w:sz w:val="72"/>
          <w:highlight w:val="none"/>
        </w:rPr>
      </w:pPr>
      <w:r/>
      <w:bookmarkStart w:id="196" w:name="_Hlt26955039"/>
      <w:r/>
      <w:bookmarkEnd w:id="196"/>
      <w:r/>
      <w:bookmarkStart w:id="197" w:name="_Hlt26671244"/>
      <w:r/>
      <w:bookmarkEnd w:id="197"/>
      <w:r/>
      <w:bookmarkStart w:id="198" w:name="_Toc26554094"/>
      <w:r/>
      <w:bookmarkStart w:id="199" w:name="_Toc120614282"/>
      <w:r/>
      <w:bookmarkStart w:id="200" w:name="_Toc49090576"/>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71"/>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highlight w:val="none"/>
        </w:rPr>
      </w:pPr>
      <w:r>
        <w:rPr>
          <w:rFonts w:ascii="宋体" w:hAnsi="宋体"/>
          <w:color w:val="000000"/>
          <w:highlight w:val="none"/>
        </w:rPr>
      </w:r>
      <w:r/>
    </w:p>
    <w:p>
      <w:pPr>
        <w:pStyle w:val="871"/>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14:ligatures w14:val="none"/>
        </w:rPr>
      </w:pPr>
      <w:r>
        <w:rPr>
          <w:rFonts w:hint="eastAsia" w:ascii="宋体" w:hAnsi="宋体" w:eastAsia="宋体" w:cs="宋体"/>
          <w:b w:val="0"/>
          <w:bCs w:val="0"/>
          <w:i w:val="0"/>
          <w:iCs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iCs w:val="0"/>
          <w:color w:val="000000"/>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14:ligatures w14:val="none"/>
        </w:rPr>
      </w:pPr>
      <w:r>
        <w:rPr>
          <w:rFonts w:hint="eastAsia" w:ascii="宋体" w:hAnsi="宋体" w:eastAsia="宋体" w:cs="宋体"/>
          <w:b w:val="0"/>
          <w:bCs w:val="0"/>
          <w:i w:val="0"/>
          <w:iCs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iCs w:val="0"/>
          <w:color w:val="000000"/>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14:ligatures w14:val="none"/>
        </w:rPr>
      </w:pPr>
      <w:r>
        <w:rPr>
          <w:rFonts w:hint="eastAsia" w:ascii="宋体" w:hAnsi="宋体" w:eastAsia="宋体" w:cs="宋体"/>
          <w:b w:val="0"/>
          <w:bCs w:val="0"/>
          <w:i w:val="0"/>
          <w:iCs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iCs w:val="0"/>
          <w:color w:val="000000"/>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14:ligatures w14:val="none"/>
        </w:rPr>
      </w:pPr>
      <w:r>
        <w:rPr>
          <w:rFonts w:hint="eastAsia" w:ascii="宋体" w:hAnsi="宋体" w:eastAsia="宋体" w:cs="宋体"/>
          <w:b w:val="0"/>
          <w:bCs w:val="0"/>
          <w:i w:val="0"/>
          <w:iCs w:val="0"/>
          <w:color w:val="000000"/>
          <w:sz w:val="28"/>
          <w:szCs w:val="28"/>
          <w:highlight w:val="none"/>
          <w:u w:val="none"/>
          <w:lang w:val="en-US" w:eastAsia="zh-CN"/>
        </w:rPr>
        <w:t xml:space="preserve">十一、联合体协议（如有）</w:t>
      </w:r>
      <w:r>
        <w:rPr>
          <w:rFonts w:hint="eastAsia" w:ascii="宋体" w:hAnsi="宋体" w:eastAsia="宋体" w:cs="宋体"/>
          <w:b w:val="0"/>
          <w:bCs w:val="0"/>
          <w:i w:val="0"/>
          <w:iCs w:val="0"/>
          <w:color w:val="000000"/>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14:ligatures w14:val="none"/>
        </w:rPr>
      </w:pPr>
      <w:r>
        <w:rPr>
          <w:rFonts w:hint="eastAsia" w:ascii="宋体" w:hAnsi="宋体" w:eastAsia="宋体" w:cs="宋体"/>
          <w:b w:val="0"/>
          <w:bCs w:val="0"/>
          <w:i w:val="0"/>
          <w:iCs w:val="0"/>
          <w:color w:val="000000"/>
          <w:sz w:val="28"/>
          <w:szCs w:val="28"/>
          <w:highlight w:val="none"/>
          <w:u w:val="none"/>
          <w:lang w:val="en-US" w:eastAsia="zh-CN"/>
        </w:rPr>
        <w:t xml:space="preserve">十二、分包承诺书（如有）</w:t>
      </w:r>
      <w:r>
        <w:rPr>
          <w:rFonts w:hint="eastAsia" w:ascii="宋体" w:hAnsi="宋体" w:eastAsia="宋体" w:cs="宋体"/>
          <w:b w:val="0"/>
          <w:bCs w:val="0"/>
          <w:i w:val="0"/>
          <w:iCs w:val="0"/>
          <w:color w:val="000000"/>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14:ligatures w14:val="none"/>
        </w:rPr>
      </w:pPr>
      <w:r>
        <w:rPr>
          <w:rFonts w:hint="eastAsia" w:ascii="宋体" w:hAnsi="宋体" w:eastAsia="宋体" w:cs="宋体"/>
          <w:b w:val="0"/>
          <w:bCs w:val="0"/>
          <w:i w:val="0"/>
          <w:iCs w:val="0"/>
          <w:color w:val="000000"/>
          <w:sz w:val="28"/>
          <w:szCs w:val="28"/>
          <w:highlight w:val="none"/>
          <w:u w:val="none"/>
          <w:lang w:val="en-US" w:eastAsia="zh-CN"/>
        </w:rPr>
        <w:t xml:space="preserve">十三、关于符合本国产品标准的声明函（如有）</w:t>
      </w:r>
      <w:r>
        <w:rPr>
          <w:rFonts w:hint="eastAsia" w:ascii="宋体" w:hAnsi="宋体" w:eastAsia="宋体" w:cs="宋体"/>
          <w:b w:val="0"/>
          <w:bCs w:val="0"/>
          <w:i w:val="0"/>
          <w:iCs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955"/>
        <w:rPr>
          <w:rFonts w:ascii="宋体" w:hAnsi="宋体"/>
          <w:color w:val="000000"/>
          <w:sz w:val="24"/>
          <w:highlight w:val="none"/>
        </w:rPr>
      </w:pPr>
      <w:r>
        <w:rPr>
          <w:rFonts w:ascii="宋体" w:hAnsi="宋体"/>
          <w:color w:val="000000"/>
          <w:sz w:val="24"/>
          <w:highlight w:val="none"/>
        </w:rPr>
      </w:r>
      <w:r/>
    </w:p>
    <w:p>
      <w:pPr>
        <w:pStyle w:val="955"/>
        <w:rPr>
          <w:rFonts w:ascii="宋体" w:hAnsi="宋体"/>
          <w:color w:val="000000"/>
          <w:sz w:val="24"/>
          <w:highlight w:val="none"/>
        </w:rPr>
      </w:pPr>
      <w:r>
        <w:rPr>
          <w:rFonts w:ascii="宋体" w:hAnsi="宋体"/>
          <w:color w:val="000000"/>
          <w:sz w:val="24"/>
          <w:highlight w:val="none"/>
        </w:rPr>
      </w:r>
      <w:r/>
    </w:p>
    <w:p>
      <w:pPr>
        <w:pStyle w:val="955"/>
        <w:rPr>
          <w:rFonts w:ascii="宋体" w:hAnsi="宋体"/>
          <w:color w:val="000000"/>
          <w:sz w:val="24"/>
          <w:highlight w:val="none"/>
        </w:rPr>
      </w:pPr>
      <w:r>
        <w:rPr>
          <w:rFonts w:ascii="宋体" w:hAnsi="宋体"/>
          <w:color w:val="000000"/>
          <w:sz w:val="24"/>
          <w:highlight w:val="none"/>
        </w:rPr>
      </w:r>
      <w:r/>
    </w:p>
    <w:p>
      <w:pPr>
        <w:pStyle w:val="955"/>
        <w:rPr>
          <w:rFonts w:ascii="宋体" w:hAnsi="宋体"/>
          <w:color w:val="000000"/>
          <w:sz w:val="24"/>
          <w:highlight w:val="none"/>
        </w:rPr>
      </w:pPr>
      <w:r>
        <w:rPr>
          <w:rFonts w:ascii="宋体" w:hAnsi="宋体"/>
          <w:color w:val="000000"/>
          <w:sz w:val="24"/>
          <w:highlight w:val="none"/>
        </w:rPr>
      </w:r>
      <w:r/>
    </w:p>
    <w:p>
      <w:pPr>
        <w:pStyle w:val="955"/>
        <w:rPr>
          <w:rFonts w:ascii="宋体" w:hAnsi="宋体"/>
          <w:color w:val="000000"/>
          <w:sz w:val="24"/>
          <w:highlight w:val="none"/>
        </w:rPr>
      </w:pPr>
      <w:r>
        <w:rPr>
          <w:rFonts w:ascii="宋体" w:hAnsi="宋体"/>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bCs w:val="0"/>
          <w:i w:val="0"/>
          <w:color w:val="000000"/>
          <w:sz w:val="32"/>
          <w:szCs w:val="32"/>
          <w:highlight w:val="none"/>
          <w:u w:val="none"/>
          <w:lang w:val="en-US" w:eastAsia="zh-CN"/>
        </w:rPr>
      </w:pPr>
      <w:r/>
      <w:bookmarkEnd w:id="198"/>
      <w:r/>
      <w:bookmarkEnd w:id="199"/>
      <w:r/>
      <w:bookmarkEnd w:id="200"/>
      <w:r/>
      <w:bookmarkStart w:id="201" w:name="_Toc120614284"/>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71"/>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2"/>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94"/>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71"/>
        <w:rPr>
          <w:rFonts w:hint="eastAsia"/>
          <w:color w:val="000000"/>
          <w:highlight w:val="none"/>
          <w:lang w:eastAsia="zh-CN"/>
        </w:rPr>
      </w:pPr>
      <w:r>
        <w:rPr>
          <w:rFonts w:hint="eastAsia"/>
          <w:color w:val="000000"/>
          <w:highlight w:val="none"/>
          <w:lang w:eastAsia="zh-CN"/>
        </w:rPr>
      </w:r>
      <w:r/>
    </w:p>
    <w:p>
      <w:pPr>
        <w:pStyle w:val="883"/>
        <w:rPr>
          <w:rFonts w:hint="eastAsia"/>
          <w:color w:val="000000"/>
          <w:highlight w:val="none"/>
          <w:lang w:eastAsia="zh-CN"/>
        </w:rPr>
      </w:pPr>
      <w:r>
        <w:rPr>
          <w:rFonts w:hint="eastAsia"/>
          <w:color w:val="000000"/>
          <w:highlight w:val="none"/>
          <w:lang w:eastAsia="zh-CN"/>
        </w:rPr>
      </w:r>
      <w:r/>
    </w:p>
    <w:p>
      <w:pPr>
        <w:pStyle w:val="871"/>
        <w:rPr>
          <w:rFonts w:hint="eastAsia"/>
          <w:color w:val="000000"/>
          <w:highlight w:val="none"/>
          <w:lang w:eastAsia="zh-CN"/>
        </w:rPr>
      </w:pPr>
      <w:r>
        <w:rPr>
          <w:rFonts w:hint="eastAsia"/>
          <w:color w:val="000000"/>
          <w:highlight w:val="none"/>
          <w:lang w:eastAsia="zh-CN"/>
        </w:rPr>
      </w:r>
      <w:r/>
    </w:p>
    <w:p>
      <w:pPr>
        <w:pStyle w:val="871"/>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64"/>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4"/>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64"/>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96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4"/>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64"/>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64"/>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2" w:name="_格式3__银行出具的资信证明"/>
      <w:r/>
      <w:bookmarkEnd w:id="202"/>
      <w:r/>
      <w:bookmarkStart w:id="203" w:name="_Hlt26955070"/>
      <w:r/>
      <w:bookmarkEnd w:id="203"/>
      <w:r/>
      <w:bookmarkStart w:id="204" w:name="_Hlt26671380"/>
      <w:r/>
      <w:bookmarkEnd w:id="204"/>
      <w:r>
        <w:rPr>
          <w:rFonts w:hint="eastAsia"/>
          <w:color w:val="000000"/>
          <w:sz w:val="24"/>
          <w:szCs w:val="24"/>
          <w:highlight w:val="none"/>
        </w:rPr>
      </w:r>
      <w:r/>
    </w:p>
    <w:p>
      <w:pPr>
        <w:pStyle w:val="890"/>
        <w:rPr>
          <w:rFonts w:hint="eastAsia"/>
          <w:i/>
          <w:color w:val="000000"/>
          <w:sz w:val="24"/>
          <w:szCs w:val="24"/>
          <w:highlight w:val="none"/>
          <w:u w:val="single"/>
        </w:rPr>
      </w:pPr>
      <w:r>
        <w:rPr>
          <w:rFonts w:hint="eastAsia"/>
          <w:i/>
          <w:color w:val="000000"/>
          <w:sz w:val="24"/>
          <w:szCs w:val="24"/>
          <w:highlight w:val="none"/>
          <w:u w:val="single"/>
        </w:rPr>
      </w:r>
      <w:r/>
    </w:p>
    <w:p>
      <w:pPr>
        <w:pStyle w:val="890"/>
        <w:rPr>
          <w:rFonts w:hint="eastAsia"/>
          <w:i/>
          <w:color w:val="000000"/>
          <w:sz w:val="24"/>
          <w:szCs w:val="24"/>
          <w:highlight w:val="none"/>
          <w:u w:val="single"/>
        </w:rPr>
      </w:pPr>
      <w:r>
        <w:rPr>
          <w:rFonts w:hint="eastAsia"/>
          <w:i/>
          <w:color w:val="000000"/>
          <w:sz w:val="24"/>
          <w:szCs w:val="24"/>
          <w:highlight w:val="none"/>
          <w:u w:val="single"/>
        </w:rPr>
      </w:r>
      <w:r/>
    </w:p>
    <w:p>
      <w:pPr>
        <w:pStyle w:val="890"/>
        <w:rPr>
          <w:rFonts w:hint="eastAsia"/>
          <w:i/>
          <w:color w:val="000000"/>
          <w:sz w:val="24"/>
          <w:szCs w:val="24"/>
          <w:highlight w:val="none"/>
          <w:u w:val="single"/>
        </w:rPr>
      </w:pPr>
      <w:r>
        <w:rPr>
          <w:rFonts w:hint="eastAsia"/>
          <w:i/>
          <w:color w:val="000000"/>
          <w:sz w:val="24"/>
          <w:szCs w:val="24"/>
          <w:highlight w:val="none"/>
          <w:u w:val="single"/>
        </w:rPr>
      </w:r>
      <w:r/>
    </w:p>
    <w:p>
      <w:pPr>
        <w:pStyle w:val="890"/>
        <w:ind w:firstLine="0"/>
        <w:rPr>
          <w:rFonts w:hint="eastAsia"/>
          <w:color w:val="000000"/>
          <w:highlight w:val="none"/>
        </w:rPr>
      </w:pPr>
      <w:r>
        <w:rPr>
          <w:rFonts w:hint="eastAsia"/>
          <w:color w:val="000000"/>
          <w:highlight w:val="none"/>
        </w:rPr>
      </w:r>
      <w:r/>
    </w:p>
    <w:p>
      <w:pPr>
        <w:pStyle w:val="871"/>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71"/>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5"/>
        <w:rPr>
          <w:rFonts w:hint="eastAsia" w:ascii="宋体" w:hAnsi="宋体"/>
          <w:bCs/>
          <w:color w:val="000000"/>
          <w:sz w:val="24"/>
          <w:highlight w:val="none"/>
        </w:rPr>
      </w:pPr>
      <w:r>
        <w:rPr>
          <w:rFonts w:hint="eastAsia" w:ascii="宋体" w:hAnsi="宋体"/>
          <w:bCs/>
          <w:color w:val="000000"/>
          <w:sz w:val="24"/>
          <w:highlight w:val="none"/>
        </w:rPr>
      </w:r>
      <w:r/>
    </w:p>
    <w:p>
      <w:pPr>
        <w:pStyle w:val="955"/>
        <w:rPr>
          <w:rFonts w:hint="eastAsia" w:ascii="宋体" w:hAnsi="宋体"/>
          <w:bCs/>
          <w:color w:val="000000"/>
          <w:sz w:val="24"/>
          <w:highlight w:val="none"/>
        </w:rPr>
      </w:pPr>
      <w:r>
        <w:rPr>
          <w:rFonts w:hint="eastAsia" w:ascii="宋体" w:hAnsi="宋体"/>
          <w:bCs/>
          <w:color w:val="000000"/>
          <w:sz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6"/>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66"/>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71"/>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883"/>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其他</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6"/>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1"/>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6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1"/>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1"/>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6"/>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1"/>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3"/>
        <w:rPr>
          <w:rFonts w:hint="eastAsia"/>
          <w:color w:val="000000"/>
          <w:highlight w:val="none"/>
        </w:rPr>
      </w:pPr>
      <w:r>
        <w:rPr>
          <w:rFonts w:hint="eastAsia"/>
          <w:color w:val="000000"/>
          <w:highlight w:val="none"/>
        </w:rPr>
      </w:r>
      <w:r/>
    </w:p>
    <w:p>
      <w:pPr>
        <w:pStyle w:val="871"/>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3"/>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83"/>
        <w:rPr>
          <w:rFonts w:hint="eastAsia"/>
          <w:color w:val="000000"/>
          <w:highlight w:val="none"/>
          <w:lang w:val="en-US" w:eastAsia="zh-CN"/>
        </w:rPr>
      </w:pPr>
      <w:r>
        <w:rPr>
          <w:rFonts w:hint="eastAsia"/>
          <w:color w:val="000000"/>
          <w:highlight w:val="none"/>
          <w:lang w:val="en-US" w:eastAsia="zh-CN"/>
        </w:rPr>
      </w:r>
      <w:r/>
    </w:p>
    <w:p>
      <w:pPr>
        <w:pStyle w:val="94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1"/>
        <w:ind w:firstLine="0"/>
        <w:rPr>
          <w:rFonts w:hint="eastAsia"/>
          <w:color w:val="000000"/>
          <w:highlight w:val="none"/>
          <w:lang w:val="en-US" w:eastAsia="zh-CN"/>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hint="eastAsia"/>
          <w:color w:val="000000"/>
          <w:highlight w:val="none"/>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017"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605" w:type="dxa"/>
            <w:vAlign w:val="center"/>
            <w:textDirection w:val="lrTb"/>
            <w:noWrap w:val="false"/>
          </w:tcPr>
          <w:p>
            <w:pPr>
              <w:pStyle w:val="871"/>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1515"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1845" w:type="dxa"/>
            <w:vAlign w:val="center"/>
            <w:textDirection w:val="lrTb"/>
            <w:noWrap w:val="false"/>
          </w:tcPr>
          <w:p>
            <w:pPr>
              <w:pStyle w:val="871"/>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r>
      <w:tr>
        <w:trPr>
          <w:cantSplit/>
          <w:trHeight w:val="445"/>
        </w:trPr>
        <w:tc>
          <w:tcPr>
            <w:tcW w:w="581" w:type="dxa"/>
            <w:vAlign w:val="center"/>
            <w:vMerge w:val="continue"/>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017"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605"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交付期（天）</w:t>
            </w:r>
            <w:r>
              <w:rPr>
                <w:rFonts w:hint="eastAsia" w:ascii="宋体" w:hAnsi="宋体" w:eastAsia="宋体"/>
                <w:color w:val="000000"/>
                <w:sz w:val="24"/>
                <w:szCs w:val="24"/>
                <w:highlight w:val="none"/>
                <w:lang w:eastAsia="zh-CN"/>
              </w:rPr>
            </w:r>
            <w:r/>
          </w:p>
        </w:tc>
        <w:tc>
          <w:tcPr>
            <w:tcW w:w="990"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515" w:type="dxa"/>
            <w:vAlign w:val="center"/>
            <w:textDirection w:val="lrTb"/>
            <w:noWrap w:val="false"/>
          </w:tcPr>
          <w:p>
            <w:pPr>
              <w:pStyle w:val="871"/>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1845"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总价（元）</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017"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017"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017"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017" w:type="dxa"/>
            <w:vAlign w:val="center"/>
            <w:textDirection w:val="lrTb"/>
            <w:noWrap w:val="false"/>
          </w:tcPr>
          <w:p>
            <w:pPr>
              <w:pStyle w:val="871"/>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5"/>
            <w:tcW w:w="6945"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gridSpan w:val="7"/>
            <w:tcW w:w="9543"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1"/>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3.供应商所报产品须与“第四章-项目清单”中的产品一一对应，如有缺项、漏项或者超出单价上限的，视为无效投标。“项目清单”中分项仅为一项的，此表无需提供。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hint="eastAsia" w:ascii="宋体" w:hAnsi="宋体" w:eastAsia="宋体" w:cs="宋体"/>
          <w:color w:val="000000"/>
          <w:sz w:val="24"/>
          <w:szCs w:val="24"/>
          <w:highlight w:val="none"/>
          <w:lang w:val="en-US" w:eastAsia="zh-CN"/>
        </w:rPr>
      </w:r>
      <w:r/>
    </w:p>
    <w:p>
      <w:pPr>
        <w:pStyle w:val="936"/>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t xml:space="preserve">七</w:t>
      </w:r>
      <w:bookmarkEnd w:id="42"/>
      <w:r/>
      <w:bookmarkEnd w:id="43"/>
      <w:r/>
      <w:bookmarkEnd w:id="201"/>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color w:val="000000"/>
                <w:highlight w:val="none"/>
              </w:rPr>
            </w:pPr>
            <w:r>
              <w:rPr>
                <w:color w:val="000000"/>
                <w:highlight w:val="none"/>
              </w:rPr>
            </w:r>
            <w:r/>
          </w:p>
          <w:p>
            <w:pPr>
              <w:pStyle w:val="883"/>
              <w:rPr>
                <w:rFonts w:hint="eastAsia"/>
                <w:color w:val="000000"/>
                <w:highlight w:val="none"/>
              </w:rPr>
            </w:pPr>
            <w:r>
              <w:rPr>
                <w:rFonts w:hint="eastAsia"/>
                <w:color w:val="000000"/>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bookmarkStart w:id="205" w:name="_Hlt26955054"/>
      <w:r/>
      <w:bookmarkEnd w:id="205"/>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highlight w:val="none"/>
              </w:rPr>
            </w:pPr>
            <w:r/>
            <w:bookmarkStart w:id="206" w:name="_Hlt26955064"/>
            <w:r/>
            <w:bookmarkEnd w:id="206"/>
            <w:r/>
            <w:bookmarkStart w:id="207" w:name="_Hlt24879081"/>
            <w:r/>
            <w:bookmarkEnd w:id="207"/>
            <w:r/>
            <w:bookmarkStart w:id="208" w:name="_Hlt26955056"/>
            <w:r/>
            <w:bookmarkEnd w:id="208"/>
            <w:r/>
            <w:bookmarkStart w:id="209" w:name="_Hlt26609391"/>
            <w:r/>
            <w:bookmarkEnd w:id="209"/>
            <w:r/>
            <w:bookmarkStart w:id="210" w:name="_Hlt26580838"/>
            <w:r/>
            <w:bookmarkEnd w:id="210"/>
            <w:r/>
            <w:bookmarkStart w:id="211" w:name="_Hlt26782999"/>
            <w:r/>
            <w:bookmarkEnd w:id="211"/>
            <w:r/>
            <w:bookmarkStart w:id="212" w:name="_Hlt26671343"/>
            <w:r/>
            <w:bookmarkEnd w:id="212"/>
            <w:r/>
            <w:bookmarkStart w:id="213" w:name="_Hlt26671372"/>
            <w:r/>
            <w:bookmarkEnd w:id="21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color w:val="000000"/>
                <w:highlight w:val="none"/>
              </w:rPr>
            </w:pPr>
            <w:r>
              <w:rPr>
                <w:color w:val="000000"/>
                <w:highlight w:val="none"/>
              </w:rPr>
            </w:r>
            <w:r/>
          </w:p>
          <w:p>
            <w:pPr>
              <w:pStyle w:val="883"/>
              <w:rPr>
                <w:rFonts w:hint="eastAsia"/>
                <w:color w:val="000000"/>
                <w:highlight w:val="none"/>
              </w:rPr>
            </w:pPr>
            <w:r>
              <w:rPr>
                <w:rFonts w:hint="eastAsia"/>
                <w:color w:val="000000"/>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9"/>
        <w:rPr>
          <w:rFonts w:hint="eastAsia"/>
          <w:color w:val="000000"/>
          <w:highlight w:val="none"/>
        </w:rPr>
      </w:pPr>
      <w:r>
        <w:rPr>
          <w:rFonts w:hint="eastAsia"/>
          <w:color w:val="000000"/>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49"/>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w:t>
      </w:r>
      <w:r>
        <w:rPr>
          <w:rFonts w:hint="eastAsia" w:ascii="宋体" w:hAnsi="宋体" w:eastAsia="宋体" w:cs="Times New Roman"/>
          <w:color w:val="000000"/>
          <w:sz w:val="24"/>
          <w:szCs w:val="24"/>
          <w:highlight w:val="none"/>
          <w:lang w:val="en-US" w:eastAsia="zh-CN"/>
        </w:rPr>
        <w:t xml:space="preserve">中标</w:t>
      </w:r>
      <w:r>
        <w:rPr>
          <w:rFonts w:hint="eastAsia" w:ascii="宋体" w:hAnsi="宋体" w:eastAsia="宋体" w:cs="Times New Roman"/>
          <w:color w:val="000000"/>
          <w:sz w:val="24"/>
          <w:szCs w:val="24"/>
          <w:highlight w:val="none"/>
          <w:lang w:eastAsia="zh-CN"/>
        </w:rPr>
        <w:t xml:space="preserve">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71"/>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49"/>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71"/>
        <w:ind w:firstLine="480"/>
        <w:spacing w:line="480" w:lineRule="exact"/>
        <w:rPr>
          <w:rFonts w:ascii="宋体" w:hAnsi="宋体"/>
          <w:color w:val="000000"/>
          <w:sz w:val="24"/>
          <w:highlight w:val="none"/>
        </w:rPr>
      </w:pPr>
      <w:r>
        <w:rPr>
          <w:rFonts w:ascii="宋体" w:hAnsi="宋体"/>
          <w:color w:val="000000"/>
          <w:sz w:val="24"/>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1"/>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1"/>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1"/>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3"/>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1"/>
        <w:rPr>
          <w:rFonts w:hint="eastAsia"/>
          <w:color w:val="000000"/>
          <w:highlight w:val="none"/>
        </w:rPr>
      </w:pPr>
      <w:r>
        <w:rPr>
          <w:rFonts w:hint="eastAsia"/>
          <w:color w:val="000000"/>
          <w:highlight w:val="none"/>
        </w:rPr>
      </w:r>
      <w:r/>
    </w:p>
    <w:p>
      <w:pPr>
        <w:pStyle w:val="871"/>
        <w:ind w:firstLine="645"/>
        <w:spacing w:line="560" w:lineRule="exact"/>
        <w:rPr>
          <w:rFonts w:ascii="宋体" w:hAnsi="宋体"/>
          <w:color w:val="000000"/>
          <w:sz w:val="24"/>
          <w:highlight w:val="none"/>
        </w:rPr>
      </w:pPr>
      <w:r>
        <w:rPr>
          <w:rFonts w:ascii="宋体" w:hAnsi="宋体"/>
          <w:color w:val="000000"/>
          <w:sz w:val="24"/>
          <w:highlight w:val="none"/>
        </w:rPr>
      </w:r>
      <w:r/>
    </w:p>
    <w:p>
      <w:pPr>
        <w:pStyle w:val="87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49"/>
        <w:rPr>
          <w:rFonts w:hint="eastAsia" w:ascii="宋体" w:hAnsi="宋体"/>
          <w:color w:val="000000"/>
          <w:sz w:val="24"/>
          <w:highlight w:val="none"/>
        </w:rPr>
      </w:pPr>
      <w:r>
        <w:rPr>
          <w:rFonts w:hint="eastAsia" w:ascii="宋体" w:hAnsi="宋体"/>
          <w:color w:val="000000"/>
          <w:sz w:val="24"/>
          <w:highlight w:val="none"/>
        </w:rPr>
      </w:r>
      <w:r/>
    </w:p>
    <w:p>
      <w:pPr>
        <w:pStyle w:val="871"/>
        <w:rPr>
          <w:rFonts w:hint="eastAsia" w:ascii="宋体" w:hAnsi="宋体"/>
          <w:color w:val="000000"/>
          <w:sz w:val="24"/>
          <w:highlight w:val="none"/>
        </w:rPr>
      </w:pPr>
      <w:r>
        <w:rPr>
          <w:rFonts w:hint="eastAsia" w:ascii="宋体" w:hAnsi="宋体"/>
          <w:color w:val="000000"/>
          <w:sz w:val="24"/>
          <w:highlight w:val="none"/>
        </w:rPr>
      </w:r>
      <w:r/>
    </w:p>
    <w:p>
      <w:pPr>
        <w:pStyle w:val="949"/>
        <w:rPr>
          <w:rFonts w:hint="eastAsia"/>
          <w:color w:val="000000"/>
          <w:highlight w:val="none"/>
        </w:rPr>
      </w:pPr>
      <w:r>
        <w:rPr>
          <w:rFonts w:hint="eastAsia"/>
          <w:color w:val="000000"/>
          <w:highlight w:val="none"/>
        </w:rPr>
      </w:r>
      <w:r/>
    </w:p>
    <w:p>
      <w:pPr>
        <w:pStyle w:val="871"/>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十二、分包承诺书</w:t>
      </w:r>
      <w:r>
        <w:rPr>
          <w:rFonts w:hint="eastAsia" w:ascii="黑体" w:hAnsi="黑体" w:eastAsia="黑体" w:cs="Times New Roman"/>
          <w:i w:val="0"/>
          <w:iCs/>
          <w:color w:val="000000"/>
          <w:sz w:val="32"/>
          <w:szCs w:val="32"/>
          <w:highlight w:val="none"/>
          <w:u w:val="none"/>
          <w:lang w:val="en-US" w:eastAsia="zh-CN"/>
        </w:rPr>
      </w:r>
      <w:r/>
    </w:p>
    <w:p>
      <w:pPr>
        <w:pStyle w:val="871"/>
        <w:rPr>
          <w:rFonts w:hint="eastAsia"/>
          <w:color w:val="000000"/>
          <w:highlight w:val="none"/>
        </w:rPr>
      </w:pPr>
      <w:r>
        <w:rPr>
          <w:rFonts w:hint="eastAsia"/>
          <w:color w:val="000000"/>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zh-CN" w:eastAsia="zh-CN"/>
        </w:rPr>
      </w:pPr>
      <w:r>
        <w:rPr>
          <w:rFonts w:hint="eastAsia" w:ascii="方正小标宋简体" w:hAnsi="方正小标宋简体" w:eastAsia="方正小标宋简体" w:cs="方正小标宋简体"/>
          <w:b w:val="0"/>
          <w:bCs w:val="0"/>
          <w:color w:val="000000"/>
          <w:sz w:val="32"/>
          <w:szCs w:val="32"/>
          <w:highlight w:val="none"/>
          <w:lang w:val="zh-CN" w:eastAsia="zh-CN"/>
        </w:rPr>
        <w:t xml:space="preserve">分包承诺书</w:t>
      </w:r>
      <w:r>
        <w:rPr>
          <w:rFonts w:hint="eastAsia" w:ascii="方正小标宋简体" w:hAnsi="方正小标宋简体" w:eastAsia="方正小标宋简体" w:cs="方正小标宋简体"/>
          <w:b w:val="0"/>
          <w:bCs w:val="0"/>
          <w:color w:val="000000"/>
          <w:sz w:val="32"/>
          <w:szCs w:val="32"/>
          <w:highlight w:val="none"/>
          <w:lang w:val="zh-CN" w:eastAsia="zh-CN"/>
        </w:rPr>
      </w:r>
      <w:r/>
    </w:p>
    <w:p>
      <w:pPr>
        <w:pStyle w:val="871"/>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eastAsia="zh-CN"/>
        </w:rPr>
      </w:r>
      <w:r/>
    </w:p>
    <w:p>
      <w:pPr>
        <w:pStyle w:val="871"/>
        <w:ind w:firstLine="0"/>
        <w:keepLines w:val="0"/>
        <w:keepNext w:val="0"/>
        <w:pageBreakBefore w:val="0"/>
        <w:spacing w:line="48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采购人名称</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r>
      <w:r/>
    </w:p>
    <w:p>
      <w:pPr>
        <w:pStyle w:val="871"/>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（供应商名称）郑重承诺：</w:t>
      </w:r>
      <w:r>
        <w:rPr>
          <w:rFonts w:hint="eastAsia" w:ascii="宋体" w:hAnsi="宋体" w:eastAsia="宋体" w:cs="宋体"/>
          <w:color w:val="000000"/>
          <w:sz w:val="24"/>
          <w:szCs w:val="24"/>
          <w:highlight w:val="none"/>
        </w:rPr>
      </w:r>
      <w:r/>
    </w:p>
    <w:p>
      <w:pPr>
        <w:pStyle w:val="871"/>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如我公司中标（成交）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（项目名称）项目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拟将项目中的</w:t>
      </w:r>
      <w:r>
        <w:rPr>
          <w:rFonts w:hint="eastAsia" w:ascii="宋体" w:hAnsi="宋体" w:eastAsia="宋体" w:cs="宋体"/>
          <w:color w:val="000000"/>
          <w:sz w:val="24"/>
          <w:szCs w:val="24"/>
          <w:highlight w:val="none"/>
          <w:lang w:val="en-US" w:eastAsia="zh-CN"/>
        </w:rPr>
      </w:r>
      <w:r/>
    </w:p>
    <w:p>
      <w:pPr>
        <w:pStyle w:val="871"/>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建设内容，分包给具有相应资质</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供应商实施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并在签订合同时提供分包意向协议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right="180" w:firstLine="360"/>
        <w:jc w:val="righ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rPr>
      </w:r>
      <w:r/>
    </w:p>
    <w:p>
      <w:pPr>
        <w:pStyle w:val="871"/>
        <w:jc w:val="center"/>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871"/>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3"/>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1"/>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3"/>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1"/>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3"/>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1"/>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3"/>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1"/>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3"/>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1"/>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color w:val="000000"/>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十三、关于符合本国产品标准的声明函</w:t>
      </w:r>
      <w:r>
        <w:rPr>
          <w:rFonts w:hint="eastAsia" w:ascii="宋体" w:hAnsi="宋体" w:eastAsia="宋体" w:cs="Times New Roman"/>
          <w:color w:val="000000"/>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6"/>
          <w:rFonts w:hint="eastAsia"/>
          <w:i w:val="0"/>
          <w:color w:val="000000"/>
          <w:highlight w:val="none"/>
          <w:u w:val="single"/>
          <w:shd w:val="clear" w:color="auto" w:fill="ffffff"/>
        </w:rPr>
        <w:t xml:space="preserve">（产品名称1）</w:t>
      </w:r>
      <w:r>
        <w:rPr>
          <w:rStyle w:val="94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6"/>
          <w:rFonts w:hint="eastAsia"/>
          <w:i w:val="0"/>
          <w:color w:val="000000"/>
          <w:highlight w:val="none"/>
          <w:u w:val="single"/>
          <w:shd w:val="clear" w:color="auto" w:fill="ffffff"/>
        </w:rPr>
        <w:t xml:space="preserve">（厂名）</w:t>
      </w:r>
      <w:r>
        <w:rPr>
          <w:rStyle w:val="94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46"/>
          <w:rFonts w:hint="eastAsia"/>
          <w:i/>
          <w:strike w:val="0"/>
          <w:color w:val="000000"/>
          <w:highlight w:val="none"/>
          <w:u w:val="single"/>
          <w:shd w:val="clear" w:color="auto" w:fill="ffffff"/>
        </w:rPr>
        <w:t xml:space="preserve">（规定比例）</w:t>
      </w:r>
      <w:r>
        <w:rPr>
          <w:rStyle w:val="946"/>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（关键组件）</w:t>
      </w:r>
      <w:r>
        <w:rPr>
          <w:rStyle w:val="946"/>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4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（关键工序）</w:t>
      </w:r>
      <w:r>
        <w:rPr>
          <w:rStyle w:val="946"/>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36"/>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4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6"/>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46"/>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4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36"/>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36"/>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6"/>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6"/>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6"/>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36"/>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36"/>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936"/>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rPr>
          <w:color w:val="000000"/>
          <w:highlight w:val="none"/>
        </w:rPr>
      </w:r>
      <w:r/>
    </w:p>
    <w:p>
      <w:pPr>
        <w:pStyle w:val="871"/>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8"/>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5"/>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Char"/>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 w:val="32"/>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paragraph" w:styleId="950">
    <w:name w:val="正文首行缩进 21"/>
    <w:basedOn w:val="951"/>
    <w:next w:val="871"/>
    <w:link w:val="871"/>
    <w:qFormat/>
    <w:pPr>
      <w:ind w:firstLine="420"/>
      <w:spacing w:line="360" w:lineRule="auto"/>
    </w:pPr>
    <w:rPr>
      <w:rFonts w:ascii="宋体" w:hAnsi="宋体" w:eastAsia="宋体"/>
      <w:sz w:val="21"/>
      <w:szCs w:val="20"/>
    </w:rPr>
  </w:style>
  <w:style w:type="paragraph" w:styleId="951">
    <w:name w:val="正文文本缩进11"/>
    <w:basedOn w:val="871"/>
    <w:next w:val="952"/>
    <w:link w:val="871"/>
    <w:qFormat/>
    <w:pPr>
      <w:ind w:firstLine="645"/>
    </w:pPr>
    <w:rPr>
      <w:rFonts w:ascii="楷体_GB2312" w:eastAsia="楷体_GB2312"/>
      <w:sz w:val="32"/>
      <w:szCs w:val="32"/>
    </w:rPr>
  </w:style>
  <w:style w:type="paragraph" w:styleId="952">
    <w:name w:val="寄信人地址1"/>
    <w:basedOn w:val="871"/>
    <w:next w:val="952"/>
    <w:link w:val="871"/>
    <w:qFormat/>
    <w:rPr>
      <w:rFonts w:ascii="Arial" w:hAnsi="Arial" w:eastAsia="宋体" w:cs="宋体"/>
    </w:rPr>
  </w:style>
  <w:style w:type="paragraph" w:styleId="953">
    <w:name w:val="标题 41"/>
    <w:basedOn w:val="871"/>
    <w:next w:val="954"/>
    <w:link w:val="871"/>
    <w:qFormat/>
    <w:pPr>
      <w:keepLines/>
      <w:keepNext/>
      <w:spacing w:before="280" w:after="290" w:line="376" w:lineRule="auto"/>
      <w:outlineLvl w:val="3"/>
    </w:pPr>
    <w:rPr>
      <w:rFonts w:ascii="Arial" w:hAnsi="Arial" w:eastAsia="黑体" w:cs="Arial"/>
      <w:b/>
      <w:bCs/>
      <w:sz w:val="28"/>
      <w:szCs w:val="28"/>
    </w:rPr>
  </w:style>
  <w:style w:type="paragraph" w:styleId="954">
    <w:name w:val="正文缩进1"/>
    <w:basedOn w:val="871"/>
    <w:next w:val="954"/>
    <w:link w:val="871"/>
    <w:qFormat/>
    <w:pPr>
      <w:ind w:firstLine="420"/>
    </w:pPr>
  </w:style>
  <w:style w:type="paragraph" w:styleId="955">
    <w:name w:val="正文文本12"/>
    <w:basedOn w:val="871"/>
    <w:next w:val="955"/>
    <w:link w:val="871"/>
    <w:uiPriority w:val="1"/>
    <w:qFormat/>
    <w:pPr>
      <w:ind w:left="120"/>
    </w:pPr>
    <w:rPr>
      <w:rFonts w:ascii="宋体" w:hAnsi="宋体" w:eastAsia="宋体" w:cs="宋体"/>
      <w:sz w:val="21"/>
      <w:szCs w:val="21"/>
      <w:lang w:val="zh-CN" w:eastAsia="zh-CN" w:bidi="zh-CN"/>
    </w:rPr>
  </w:style>
  <w:style w:type="character" w:styleId="956">
    <w:name w:val="font5 Char"/>
    <w:next w:val="956"/>
    <w:link w:val="871"/>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1"/>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1"/>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1"/>
    <w:next w:val="907"/>
    <w:link w:val="871"/>
    <w:pPr>
      <w:spacing w:after="120"/>
    </w:pPr>
    <w:rPr>
      <w:rFonts w:ascii="宋体" w:hAnsi="Arial"/>
      <w:bCs/>
      <w:iCs/>
      <w:szCs w:val="24"/>
    </w:rPr>
  </w:style>
  <w:style w:type="paragraph" w:styleId="962">
    <w:name w:val="xl27"/>
    <w:basedOn w:val="871"/>
    <w:next w:val="96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1"/>
    <w:next w:val="963"/>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1"/>
    <w:next w:val="964"/>
    <w:link w:val="871"/>
    <w:pPr>
      <w:ind w:firstLine="200"/>
      <w:tabs>
        <w:tab w:val="left" w:pos="360" w:leader="none"/>
      </w:tabs>
    </w:pPr>
    <w:rPr>
      <w:sz w:val="28"/>
      <w:szCs w:val="30"/>
    </w:rPr>
  </w:style>
  <w:style w:type="paragraph" w:styleId="965">
    <w:name w:val=" Char"/>
    <w:basedOn w:val="901"/>
    <w:next w:val="965"/>
    <w:link w:val="871"/>
    <w:rPr>
      <w:rFonts w:ascii="Tahoma" w:hAnsi="Tahoma"/>
      <w:sz w:val="24"/>
      <w:szCs w:val="24"/>
    </w:rPr>
  </w:style>
  <w:style w:type="paragraph" w:styleId="966">
    <w:name w:val="普通正文"/>
    <w:basedOn w:val="871"/>
    <w:next w:val="966"/>
    <w:link w:val="871"/>
    <w:pPr>
      <w:ind w:firstLine="480"/>
      <w:jc w:val="left"/>
      <w:spacing w:before="120" w:after="120" w:line="360" w:lineRule="auto"/>
    </w:pPr>
    <w:rPr>
      <w:rFonts w:ascii="Arial" w:hAnsi="Arial"/>
      <w:sz w:val="24"/>
      <w:szCs w:val="24"/>
    </w:rPr>
  </w:style>
  <w:style w:type="paragraph" w:styleId="967">
    <w:name w:val="table_lines"/>
    <w:basedOn w:val="871"/>
    <w:next w:val="967"/>
    <w:link w:val="871"/>
    <w:pPr>
      <w:jc w:val="left"/>
      <w:widowControl/>
    </w:pPr>
    <w:rPr>
      <w:sz w:val="20"/>
      <w:szCs w:val="20"/>
      <w:lang w:val="de-DE" w:eastAsia="de-DE"/>
    </w:rPr>
  </w:style>
  <w:style w:type="paragraph" w:styleId="968">
    <w:name w:val="附录1"/>
    <w:next w:val="968"/>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1"/>
    <w:next w:val="969"/>
    <w:link w:val="871"/>
    <w:pPr>
      <w:jc w:val="left"/>
      <w:spacing w:before="100" w:beforeAutospacing="1" w:after="100" w:afterAutospacing="1"/>
      <w:widowControl/>
    </w:pPr>
    <w:rPr>
      <w:rFonts w:hint="eastAsia" w:ascii="宋体" w:hAnsi="宋体"/>
      <w:sz w:val="18"/>
      <w:szCs w:val="18"/>
    </w:rPr>
  </w:style>
  <w:style w:type="paragraph" w:styleId="970">
    <w:name w:val=" Char Char Char Char"/>
    <w:basedOn w:val="901"/>
    <w:next w:val="970"/>
    <w:link w:val="871"/>
    <w:pPr>
      <w:spacing w:line="360" w:lineRule="auto"/>
    </w:pPr>
    <w:rPr>
      <w:rFonts w:ascii="Tahoma" w:hAnsi="Tahoma"/>
      <w:sz w:val="24"/>
      <w:szCs w:val="24"/>
    </w:rPr>
  </w:style>
  <w:style w:type="paragraph" w:styleId="971">
    <w:name w:val="列出段落"/>
    <w:basedOn w:val="871"/>
    <w:next w:val="971"/>
    <w:link w:val="871"/>
    <w:qFormat/>
    <w:pPr>
      <w:contextualSpacing/>
      <w:ind w:left="720"/>
      <w:jc w:val="left"/>
      <w:widowControl/>
    </w:pPr>
    <w:rPr>
      <w:rFonts w:ascii="Calibri" w:hAnsi="Calibri"/>
      <w:sz w:val="24"/>
      <w:szCs w:val="24"/>
      <w:lang w:eastAsia="en-US" w:bidi="en-US"/>
    </w:rPr>
  </w:style>
  <w:style w:type="paragraph" w:styleId="972">
    <w:name w:val="4"/>
    <w:basedOn w:val="871"/>
    <w:next w:val="929"/>
    <w:link w:val="871"/>
    <w:pPr>
      <w:ind w:firstLine="420"/>
      <w:spacing w:line="360" w:lineRule="auto"/>
    </w:pPr>
    <w:rPr>
      <w:color w:val="ff0000"/>
      <w:sz w:val="24"/>
      <w:szCs w:val="24"/>
    </w:rPr>
  </w:style>
  <w:style w:type="paragraph" w:styleId="973">
    <w:name w:val="普通 (Web)"/>
    <w:basedOn w:val="871"/>
    <w:next w:val="973"/>
    <w:link w:val="871"/>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1"/>
    <w:next w:val="974"/>
    <w:link w:val="871"/>
    <w:pPr>
      <w:spacing w:line="360" w:lineRule="auto"/>
    </w:pPr>
    <w:rPr>
      <w:sz w:val="24"/>
      <w:szCs w:val="20"/>
    </w:rPr>
  </w:style>
  <w:style w:type="paragraph" w:styleId="975">
    <w:name w:val="样式1"/>
    <w:basedOn w:val="871"/>
    <w:next w:val="975"/>
    <w:link w:val="871"/>
    <w:pPr>
      <w:numPr>
        <w:ilvl w:val="0"/>
        <w:numId w:val="3"/>
      </w:numPr>
      <w:tabs>
        <w:tab w:val="left" w:pos="709" w:leader="none"/>
      </w:tabs>
    </w:pPr>
    <w:rPr>
      <w:rFonts w:ascii="宋体" w:hAnsi="宋体"/>
    </w:rPr>
  </w:style>
  <w:style w:type="paragraph" w:styleId="976">
    <w:name w:val="font6"/>
    <w:basedOn w:val="871"/>
    <w:next w:val="976"/>
    <w:link w:val="871"/>
    <w:pPr>
      <w:jc w:val="left"/>
      <w:spacing w:before="100" w:beforeAutospacing="1" w:after="100" w:afterAutospacing="1"/>
      <w:widowControl/>
    </w:pPr>
    <w:rPr>
      <w:rFonts w:hint="eastAsia" w:ascii="宋体" w:hAnsi="宋体"/>
      <w:sz w:val="28"/>
      <w:szCs w:val="28"/>
      <w:u w:val="single"/>
    </w:rPr>
  </w:style>
  <w:style w:type="paragraph" w:styleId="977">
    <w:name w:val="xl25"/>
    <w:basedOn w:val="871"/>
    <w:next w:val="977"/>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1"/>
    <w:next w:val="871"/>
    <w:link w:val="871"/>
    <w:pPr>
      <w:ind w:firstLine="624"/>
      <w:spacing w:line="590" w:lineRule="atLeast"/>
    </w:pPr>
    <w:rPr>
      <w:rFonts w:ascii="方正黑体_GBK" w:eastAsia="方正黑体_GBK"/>
      <w:sz w:val="32"/>
      <w:szCs w:val="32"/>
    </w:rPr>
  </w:style>
  <w:style w:type="paragraph" w:styleId="980">
    <w:name w:val="xl24"/>
    <w:basedOn w:val="871"/>
    <w:next w:val="98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1"/>
    <w:next w:val="981"/>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1"/>
    <w:next w:val="982"/>
    <w:link w:val="871"/>
    <w:pPr>
      <w:jc w:val="left"/>
      <w:spacing w:after="160" w:line="240" w:lineRule="exact"/>
      <w:widowControl/>
    </w:pPr>
    <w:rPr>
      <w:rFonts w:ascii="Verdana" w:hAnsi="Verdana"/>
      <w:sz w:val="20"/>
      <w:szCs w:val="20"/>
      <w:lang w:eastAsia="en-US"/>
    </w:rPr>
  </w:style>
  <w:style w:type="paragraph" w:styleId="983">
    <w:name w:val="xl28"/>
    <w:basedOn w:val="871"/>
    <w:next w:val="983"/>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1"/>
    <w:next w:val="984"/>
    <w:link w:val="871"/>
    <w:pPr>
      <w:jc w:val="left"/>
      <w:spacing w:after="160" w:line="240" w:lineRule="exact"/>
      <w:widowControl/>
    </w:pPr>
    <w:rPr>
      <w:rFonts w:ascii="Verdana" w:hAnsi="Verdana"/>
      <w:sz w:val="20"/>
      <w:szCs w:val="20"/>
      <w:lang w:eastAsia="en-US"/>
    </w:rPr>
  </w:style>
  <w:style w:type="paragraph" w:styleId="985">
    <w:name w:val="xl30"/>
    <w:basedOn w:val="871"/>
    <w:next w:val="985"/>
    <w:link w:val="871"/>
    <w:pPr>
      <w:jc w:val="center"/>
      <w:spacing w:before="100" w:beforeAutospacing="1" w:after="100" w:afterAutospacing="1"/>
      <w:widowControl/>
    </w:pPr>
    <w:rPr>
      <w:rFonts w:ascii="宋体" w:hAnsi="宋体"/>
      <w:b/>
      <w:bCs/>
      <w:sz w:val="36"/>
      <w:szCs w:val="36"/>
    </w:rPr>
  </w:style>
  <w:style w:type="paragraph" w:styleId="986">
    <w:name w:val="Char Char Char Char"/>
    <w:basedOn w:val="901"/>
    <w:next w:val="986"/>
    <w:link w:val="871"/>
    <w:pPr>
      <w:spacing w:line="360" w:lineRule="auto"/>
    </w:pPr>
    <w:rPr>
      <w:rFonts w:ascii="Tahoma" w:hAnsi="Tahoma"/>
      <w:sz w:val="24"/>
      <w:szCs w:val="24"/>
    </w:rPr>
  </w:style>
  <w:style w:type="paragraph" w:styleId="987">
    <w:name w:val="table_1stline"/>
    <w:basedOn w:val="871"/>
    <w:next w:val="987"/>
    <w:link w:val="871"/>
    <w:pPr>
      <w:jc w:val="left"/>
      <w:spacing w:before="120"/>
      <w:widowControl/>
    </w:pPr>
    <w:rPr>
      <w:bCs/>
      <w:sz w:val="20"/>
      <w:szCs w:val="20"/>
      <w:lang w:val="de-DE" w:eastAsia="de-DE"/>
    </w:rPr>
  </w:style>
  <w:style w:type="paragraph" w:styleId="988">
    <w:name w:val="font5"/>
    <w:basedOn w:val="871"/>
    <w:next w:val="988"/>
    <w:link w:val="871"/>
    <w:pPr>
      <w:jc w:val="left"/>
      <w:spacing w:before="100" w:beforeAutospacing="1" w:after="100" w:afterAutospacing="1"/>
      <w:widowControl/>
    </w:pPr>
    <w:rPr>
      <w:rFonts w:hint="eastAsia" w:ascii="宋体" w:hAnsi="宋体"/>
      <w:sz w:val="28"/>
      <w:szCs w:val="28"/>
    </w:rPr>
  </w:style>
  <w:style w:type="paragraph" w:styleId="989">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1"/>
    <w:uiPriority w:val="99"/>
    <w:semiHidden/>
    <w:rPr>
      <w:rFonts w:ascii="Times New Roman" w:hAnsi="Times New Roman"/>
      <w:sz w:val="21"/>
      <w:szCs w:val="21"/>
      <w:lang w:val="en-US" w:eastAsia="zh-CN" w:bidi="ar-SA"/>
    </w:rPr>
  </w:style>
  <w:style w:type="paragraph" w:styleId="991">
    <w:name w:val="无间隔"/>
    <w:next w:val="991"/>
    <w:link w:val="871"/>
    <w:uiPriority w:val="99"/>
    <w:qFormat/>
    <w:pPr>
      <w:jc w:val="both"/>
      <w:widowControl w:val="off"/>
    </w:pPr>
    <w:rPr>
      <w:rFonts w:ascii="Times New Roman" w:hAnsi="Times New Roman"/>
      <w:sz w:val="21"/>
      <w:szCs w:val="21"/>
      <w:lang w:val="en-US" w:eastAsia="zh-CN" w:bidi="ar-SA"/>
    </w:rPr>
  </w:style>
  <w:style w:type="paragraph" w:styleId="992">
    <w:name w:val="正文文本 211"/>
    <w:basedOn w:val="871"/>
    <w:next w:val="992"/>
    <w:link w:val="871"/>
    <w:uiPriority w:val="99"/>
    <w:qFormat/>
    <w:pPr>
      <w:jc w:val="center"/>
    </w:pPr>
    <w:rPr>
      <w:b/>
      <w:bCs/>
      <w:sz w:val="20"/>
      <w:szCs w:val="20"/>
    </w:rPr>
  </w:style>
  <w:style w:type="table" w:styleId="993">
    <w:name w:val="Table Normal"/>
    <w:next w:val="993"/>
    <w:link w:val="871"/>
    <w:qFormat/>
    <w:tblPr/>
  </w:style>
  <w:style w:type="paragraph" w:styleId="994">
    <w:name w:val="正文文本1"/>
    <w:basedOn w:val="871"/>
    <w:next w:val="871"/>
    <w:link w:val="871"/>
    <w:semiHidden/>
    <w:qFormat/>
    <w:rPr>
      <w:rFonts w:ascii="Arial" w:hAnsi="Arial" w:eastAsia="Arial" w:cs="Arial"/>
      <w:sz w:val="21"/>
      <w:szCs w:val="21"/>
      <w:lang w:val="en-US" w:eastAsia="en-US" w:bidi="ar-SA"/>
    </w:rPr>
  </w:style>
  <w:style w:type="paragraph" w:styleId="995">
    <w:name w:val="纯文本1"/>
    <w:basedOn w:val="871"/>
    <w:next w:val="995"/>
    <w:link w:val="871"/>
    <w:qFormat/>
    <w:rPr>
      <w:rFonts w:ascii="宋体" w:hAnsi="Courier New" w:cs="Courier New"/>
    </w:rPr>
  </w:style>
  <w:style w:type="table" w:styleId="996">
    <w:name w:val="网格型1"/>
    <w:basedOn w:val="997"/>
    <w:next w:val="996"/>
    <w:link w:val="871"/>
    <w:qFormat/>
    <w:pPr>
      <w:jc w:val="both"/>
      <w:widowControl w:val="off"/>
    </w:pPr>
    <w:tblPr/>
  </w:style>
  <w:style w:type="table" w:styleId="997">
    <w:name w:val="普通表格1"/>
    <w:next w:val="997"/>
    <w:link w:val="871"/>
    <w:uiPriority w:val="99"/>
    <w:unhideWhenUsed/>
    <w:qFormat/>
    <w:tblPr/>
  </w:style>
  <w:style w:type="character" w:styleId="998">
    <w:name w:val="15"/>
    <w:basedOn w:val="881"/>
    <w:next w:val="998"/>
    <w:link w:val="871"/>
    <w:rPr>
      <w:rFonts w:ascii="Times New Roman" w:hAnsi="Times New Roman" w:cs="Times New Roman"/>
    </w:rPr>
  </w:style>
  <w:style w:type="paragraph" w:styleId="999">
    <w:name w:val="正文首行缩进 211"/>
    <w:basedOn w:val="951"/>
    <w:next w:val="871"/>
    <w:link w:val="871"/>
    <w:qFormat/>
    <w:pPr>
      <w:ind w:left="0" w:firstLine="420"/>
      <w:spacing w:after="0" w:line="360" w:lineRule="auto"/>
    </w:pPr>
    <w:rPr>
      <w:rFonts w:ascii="宋体" w:hAnsi="宋体" w:eastAsia="宋体" w:cs="Times New Roman"/>
      <w:szCs w:val="20"/>
    </w:rPr>
  </w:style>
  <w:style w:type="paragraph" w:styleId="1000">
    <w:name w:val="无间隔1"/>
    <w:next w:val="1000"/>
    <w:link w:val="871"/>
    <w:uiPriority w:val="1"/>
    <w:qFormat/>
    <w:rPr>
      <w:rFonts w:ascii="Calibri" w:hAnsi="Calibri" w:eastAsia="宋体" w:cs="Times New Roman"/>
      <w:sz w:val="22"/>
      <w:szCs w:val="22"/>
      <w:lang w:val="en-US" w:eastAsia="zh-CN" w:bidi="ar-SA"/>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2023-03-16T02:16:00Z</dcterms:created>
  <dcterms:modified xsi:type="dcterms:W3CDTF">2026-06-26T01:48:38Z</dcterms:modified>
</cp:coreProperties>
</file>